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B50B5" w14:textId="0D6F2382" w:rsidR="00EC0A4B" w:rsidRPr="00EC0A4B" w:rsidRDefault="00EC0A4B" w:rsidP="00EC0A4B">
      <w:pPr>
        <w:pStyle w:val="Default"/>
        <w:jc w:val="center"/>
        <w:rPr>
          <w:rFonts w:eastAsia="Calibri"/>
          <w:b/>
          <w:color w:val="auto"/>
          <w:sz w:val="28"/>
          <w:szCs w:val="28"/>
          <w:bdr w:val="nil"/>
        </w:rPr>
      </w:pPr>
      <w:r w:rsidRPr="00EC0A4B">
        <w:rPr>
          <w:rFonts w:eastAsia="Calibri"/>
          <w:b/>
          <w:color w:val="auto"/>
          <w:sz w:val="28"/>
          <w:szCs w:val="28"/>
          <w:bdr w:val="nil"/>
        </w:rPr>
        <w:t>ACP</w:t>
      </w:r>
      <w:r w:rsidR="00DE09E8">
        <w:rPr>
          <w:rFonts w:eastAsia="Calibri"/>
          <w:b/>
          <w:color w:val="auto"/>
          <w:sz w:val="28"/>
          <w:szCs w:val="28"/>
          <w:bdr w:val="nil"/>
        </w:rPr>
        <w:t>-</w:t>
      </w:r>
      <w:r w:rsidRPr="00EC0A4B">
        <w:rPr>
          <w:rFonts w:eastAsia="Calibri"/>
          <w:b/>
          <w:color w:val="auto"/>
          <w:sz w:val="28"/>
          <w:szCs w:val="28"/>
          <w:bdr w:val="nil"/>
        </w:rPr>
        <w:t>Supported Bills for Leadership Day 2021</w:t>
      </w:r>
    </w:p>
    <w:p w14:paraId="57141849" w14:textId="1368DD76" w:rsidR="00EC0A4B" w:rsidRDefault="00EC0A4B" w:rsidP="00EC0A4B">
      <w:pPr>
        <w:pStyle w:val="Default"/>
        <w:jc w:val="center"/>
        <w:rPr>
          <w:rFonts w:eastAsia="Calibri"/>
          <w:b/>
          <w:color w:val="auto"/>
          <w:sz w:val="22"/>
          <w:szCs w:val="22"/>
          <w:u w:val="single"/>
          <w:bdr w:val="nil"/>
        </w:rPr>
      </w:pPr>
    </w:p>
    <w:p w14:paraId="3904B35C" w14:textId="7DE98F9B" w:rsidR="00EC0A4B" w:rsidRPr="00EC0A4B" w:rsidRDefault="00EC0A4B" w:rsidP="00EC0A4B">
      <w:pPr>
        <w:pStyle w:val="Default"/>
        <w:rPr>
          <w:rFonts w:eastAsia="Calibri"/>
          <w:b/>
          <w:color w:val="auto"/>
          <w:sz w:val="22"/>
          <w:szCs w:val="22"/>
          <w:bdr w:val="nil"/>
        </w:rPr>
      </w:pPr>
      <w:r w:rsidRPr="00EC0A4B">
        <w:rPr>
          <w:rFonts w:eastAsia="Calibri"/>
          <w:b/>
          <w:color w:val="auto"/>
          <w:sz w:val="22"/>
          <w:szCs w:val="22"/>
          <w:bdr w:val="nil"/>
        </w:rPr>
        <w:t xml:space="preserve">*Links </w:t>
      </w:r>
      <w:r w:rsidR="0040149C">
        <w:rPr>
          <w:rFonts w:eastAsia="Calibri"/>
          <w:b/>
          <w:color w:val="auto"/>
          <w:sz w:val="22"/>
          <w:szCs w:val="22"/>
          <w:bdr w:val="nil"/>
        </w:rPr>
        <w:t>indicate</w:t>
      </w:r>
      <w:r w:rsidRPr="00EC0A4B">
        <w:rPr>
          <w:rFonts w:eastAsia="Calibri"/>
          <w:b/>
          <w:color w:val="auto"/>
          <w:sz w:val="22"/>
          <w:szCs w:val="22"/>
          <w:bdr w:val="nil"/>
        </w:rPr>
        <w:t xml:space="preserve"> cosponsors</w:t>
      </w:r>
    </w:p>
    <w:p w14:paraId="445CB27D" w14:textId="77777777" w:rsidR="00EC0A4B" w:rsidRDefault="00EC0A4B" w:rsidP="00EC0A4B">
      <w:pPr>
        <w:pStyle w:val="Default"/>
        <w:rPr>
          <w:rFonts w:eastAsia="Calibri"/>
          <w:b/>
          <w:color w:val="auto"/>
          <w:sz w:val="22"/>
          <w:szCs w:val="22"/>
          <w:u w:val="single"/>
          <w:bdr w:val="nil"/>
        </w:rPr>
      </w:pPr>
    </w:p>
    <w:p w14:paraId="0F593549" w14:textId="15EF7779" w:rsidR="00EC0A4B" w:rsidRPr="00D21270" w:rsidRDefault="00EC0A4B" w:rsidP="00EC0A4B">
      <w:pPr>
        <w:pStyle w:val="Default"/>
        <w:rPr>
          <w:rFonts w:eastAsia="Calibri"/>
          <w:b/>
          <w:color w:val="auto"/>
          <w:sz w:val="22"/>
          <w:szCs w:val="22"/>
          <w:u w:val="single"/>
          <w:bdr w:val="nil"/>
        </w:rPr>
      </w:pPr>
      <w:r w:rsidRPr="00D21270">
        <w:rPr>
          <w:rFonts w:eastAsia="Calibri"/>
          <w:b/>
          <w:color w:val="auto"/>
          <w:sz w:val="22"/>
          <w:szCs w:val="22"/>
          <w:u w:val="single"/>
          <w:bdr w:val="nil"/>
        </w:rPr>
        <w:t>EXPAND HEALTH COVERAGE AND AFFORDABILITY</w:t>
      </w:r>
    </w:p>
    <w:p w14:paraId="799878EF" w14:textId="77777777" w:rsidR="00EC0A4B" w:rsidRDefault="00EC0A4B" w:rsidP="00EC0A4B">
      <w:pPr>
        <w:spacing w:after="0"/>
      </w:pPr>
    </w:p>
    <w:p w14:paraId="630D4346" w14:textId="7D630160" w:rsidR="00EC0A4B" w:rsidRDefault="00103FA6">
      <w:pPr>
        <w:rPr>
          <w:rFonts w:eastAsiaTheme="majorEastAsia" w:cstheme="majorBidi"/>
        </w:rPr>
      </w:pPr>
      <w:hyperlink r:id="rId5" w:history="1">
        <w:r w:rsidR="00EC0A4B" w:rsidRPr="00103FA6">
          <w:rPr>
            <w:rStyle w:val="Hyperlink"/>
            <w:rFonts w:eastAsiaTheme="majorEastAsia" w:cstheme="majorBidi"/>
            <w:b/>
            <w:bCs/>
          </w:rPr>
          <w:t xml:space="preserve">H.R. </w:t>
        </w:r>
        <w:r w:rsidR="00EC0A4B" w:rsidRPr="00103FA6">
          <w:rPr>
            <w:rStyle w:val="Hyperlink"/>
            <w:rFonts w:eastAsiaTheme="majorEastAsia" w:cstheme="majorBidi"/>
            <w:b/>
            <w:bCs/>
          </w:rPr>
          <w:t>3</w:t>
        </w:r>
        <w:r w:rsidR="00EC0A4B" w:rsidRPr="00103FA6">
          <w:rPr>
            <w:rStyle w:val="Hyperlink"/>
            <w:rFonts w:eastAsiaTheme="majorEastAsia" w:cstheme="majorBidi"/>
            <w:b/>
            <w:bCs/>
          </w:rPr>
          <w:t>4</w:t>
        </w:r>
        <w:r w:rsidR="00EC0A4B" w:rsidRPr="00103FA6">
          <w:rPr>
            <w:rStyle w:val="Hyperlink"/>
            <w:rFonts w:eastAsiaTheme="majorEastAsia" w:cstheme="majorBidi"/>
            <w:b/>
            <w:bCs/>
          </w:rPr>
          <w:t>0</w:t>
        </w:r>
      </w:hyperlink>
      <w:r w:rsidR="00EC0A4B" w:rsidRPr="00F31A7C">
        <w:rPr>
          <w:rFonts w:eastAsiaTheme="majorEastAsia" w:cstheme="majorBidi"/>
          <w:b/>
          <w:bCs/>
        </w:rPr>
        <w:t xml:space="preserve">, </w:t>
      </w:r>
      <w:r w:rsidR="00EC0A4B" w:rsidRPr="00D21270">
        <w:rPr>
          <w:rFonts w:eastAsiaTheme="majorEastAsia" w:cstheme="majorBidi"/>
          <w:b/>
          <w:bCs/>
          <w:i/>
          <w:iCs/>
        </w:rPr>
        <w:t>the Incentivizing Medicaid Expansion Act of 2021</w:t>
      </w:r>
      <w:r w:rsidR="00EC0A4B" w:rsidRPr="00F31A7C">
        <w:rPr>
          <w:rFonts w:eastAsiaTheme="majorEastAsia" w:cstheme="majorBidi"/>
          <w:b/>
          <w:bCs/>
        </w:rPr>
        <w:t xml:space="preserve">, </w:t>
      </w:r>
      <w:r w:rsidR="00EC0A4B" w:rsidRPr="00F31A7C">
        <w:rPr>
          <w:rFonts w:eastAsiaTheme="majorEastAsia" w:cstheme="majorBidi"/>
        </w:rPr>
        <w:t>to expand federal matching assistance for states that choose to expand Medicaid, regardless of when such expansion takes place.</w:t>
      </w:r>
    </w:p>
    <w:p w14:paraId="297D2991" w14:textId="2A111DBE" w:rsidR="00EC0A4B" w:rsidRPr="00EC0A4B" w:rsidRDefault="007E7085" w:rsidP="00EC0A4B">
      <w:pPr>
        <w:spacing w:after="240"/>
        <w:rPr>
          <w:rFonts w:eastAsiaTheme="majorEastAsia" w:cstheme="majorBidi"/>
        </w:rPr>
      </w:pPr>
      <w:hyperlink r:id="rId6" w:history="1">
        <w:r w:rsidR="00EC0A4B" w:rsidRPr="00BF53E3">
          <w:rPr>
            <w:rStyle w:val="Hyperlink"/>
            <w:rFonts w:eastAsiaTheme="majorEastAsia" w:cstheme="majorBidi"/>
            <w:b/>
            <w:bCs/>
          </w:rPr>
          <w:t>H.R. 369</w:t>
        </w:r>
      </w:hyperlink>
      <w:r w:rsidR="00EC0A4B" w:rsidRPr="00707A59">
        <w:rPr>
          <w:rFonts w:eastAsiaTheme="majorEastAsia" w:cstheme="majorBidi"/>
          <w:b/>
          <w:bCs/>
        </w:rPr>
        <w:t xml:space="preserve">, </w:t>
      </w:r>
      <w:r w:rsidR="00EC0A4B" w:rsidRPr="00707A59">
        <w:rPr>
          <w:rFonts w:eastAsiaTheme="majorEastAsia" w:cstheme="majorBidi"/>
          <w:b/>
          <w:bCs/>
          <w:i/>
          <w:iCs/>
        </w:rPr>
        <w:t>the Health Care Affordability Act of 20</w:t>
      </w:r>
      <w:r w:rsidR="00EC0A4B">
        <w:rPr>
          <w:rFonts w:eastAsiaTheme="majorEastAsia" w:cstheme="majorBidi"/>
          <w:b/>
          <w:bCs/>
          <w:i/>
          <w:iCs/>
        </w:rPr>
        <w:t>21</w:t>
      </w:r>
      <w:r w:rsidR="00EC0A4B" w:rsidRPr="00707A59">
        <w:rPr>
          <w:rFonts w:eastAsiaTheme="majorEastAsia" w:cstheme="majorBidi"/>
          <w:b/>
          <w:bCs/>
        </w:rPr>
        <w:t xml:space="preserve">, </w:t>
      </w:r>
      <w:r w:rsidR="00EC0A4B" w:rsidRPr="00707A59">
        <w:rPr>
          <w:rFonts w:eastAsiaTheme="majorEastAsia" w:cstheme="majorBidi"/>
        </w:rPr>
        <w:t>to expand eligibility for premium tax credits under the ACA.</w:t>
      </w:r>
    </w:p>
    <w:p w14:paraId="6AC6C634" w14:textId="7DA22667" w:rsidR="00EC0A4B" w:rsidRPr="00EC0A4B" w:rsidRDefault="00EC0A4B" w:rsidP="00EC0A4B">
      <w:pPr>
        <w:spacing w:after="0" w:line="240" w:lineRule="auto"/>
        <w:rPr>
          <w:rFonts w:eastAsiaTheme="majorEastAsia" w:cstheme="majorBidi"/>
          <w:b/>
          <w:bCs/>
          <w:u w:val="single"/>
        </w:rPr>
      </w:pPr>
      <w:r w:rsidRPr="00EC0A4B">
        <w:rPr>
          <w:rFonts w:eastAsiaTheme="majorEastAsia" w:cstheme="majorBidi"/>
          <w:b/>
          <w:bCs/>
          <w:u w:val="single"/>
        </w:rPr>
        <w:t>TRAIN AND SUPPORT FRONTLINE PHYSICIANS DURING AND AFTER COVID-19</w:t>
      </w:r>
    </w:p>
    <w:p w14:paraId="5328B721" w14:textId="77777777" w:rsidR="00EC0A4B" w:rsidRDefault="00EC0A4B" w:rsidP="00EC0A4B">
      <w:pPr>
        <w:spacing w:after="0"/>
        <w:rPr>
          <w:rFonts w:ascii="Calibri" w:eastAsia="Calibri" w:hAnsi="Calibri" w:cs="Calibri"/>
          <w:b/>
          <w:bCs/>
          <w:color w:val="000000"/>
        </w:rPr>
      </w:pPr>
    </w:p>
    <w:p w14:paraId="797E91AC" w14:textId="580E7221" w:rsidR="00EC0A4B" w:rsidRDefault="007E7085">
      <w:pPr>
        <w:rPr>
          <w:rFonts w:ascii="Calibri" w:eastAsia="Calibri" w:hAnsi="Calibri" w:cs="Calibri"/>
          <w:color w:val="000000"/>
        </w:rPr>
      </w:pPr>
      <w:hyperlink r:id="rId7" w:history="1">
        <w:r w:rsidR="00EC0A4B" w:rsidRPr="00BF53E3">
          <w:rPr>
            <w:rStyle w:val="Hyperlink"/>
            <w:rFonts w:ascii="Calibri" w:eastAsia="Calibri" w:hAnsi="Calibri" w:cs="Calibri"/>
            <w:b/>
            <w:bCs/>
          </w:rPr>
          <w:t>H.R. 2256</w:t>
        </w:r>
      </w:hyperlink>
      <w:r w:rsidR="00EC0A4B" w:rsidRPr="00F50B9A">
        <w:rPr>
          <w:rFonts w:ascii="Calibri" w:eastAsia="Calibri" w:hAnsi="Calibri" w:cs="Calibri"/>
          <w:b/>
          <w:bCs/>
          <w:color w:val="000000"/>
        </w:rPr>
        <w:t>/</w:t>
      </w:r>
      <w:hyperlink r:id="rId8" w:history="1">
        <w:r w:rsidR="00EC0A4B" w:rsidRPr="00BF53E3">
          <w:rPr>
            <w:rStyle w:val="Hyperlink"/>
            <w:rFonts w:ascii="Calibri" w:eastAsia="Calibri" w:hAnsi="Calibri" w:cs="Calibri"/>
            <w:b/>
            <w:bCs/>
          </w:rPr>
          <w:t>S. 834</w:t>
        </w:r>
      </w:hyperlink>
      <w:r w:rsidR="00EC0A4B">
        <w:rPr>
          <w:rFonts w:ascii="Calibri" w:eastAsia="Calibri" w:hAnsi="Calibri" w:cs="Calibri"/>
          <w:b/>
          <w:bCs/>
          <w:color w:val="000000"/>
        </w:rPr>
        <w:t>,</w:t>
      </w:r>
      <w:r w:rsidR="00EC0A4B" w:rsidRPr="00F50B9A">
        <w:rPr>
          <w:rFonts w:ascii="Calibri" w:eastAsia="Calibri" w:hAnsi="Calibri" w:cs="Calibri"/>
          <w:b/>
          <w:bCs/>
          <w:color w:val="000000"/>
        </w:rPr>
        <w:t xml:space="preserve"> </w:t>
      </w:r>
      <w:r w:rsidR="00EC0A4B" w:rsidRPr="00F50B9A">
        <w:rPr>
          <w:rFonts w:ascii="Calibri" w:eastAsia="Calibri" w:hAnsi="Calibri" w:cs="Calibri"/>
          <w:b/>
          <w:bCs/>
          <w:i/>
          <w:iCs/>
          <w:color w:val="000000"/>
        </w:rPr>
        <w:t>the Resident Physician Reduction Shortage Act of 2021</w:t>
      </w:r>
      <w:r w:rsidR="00EC0A4B">
        <w:rPr>
          <w:rFonts w:ascii="Calibri" w:eastAsia="Calibri" w:hAnsi="Calibri" w:cs="Calibri"/>
          <w:b/>
          <w:bCs/>
          <w:i/>
          <w:iCs/>
          <w:color w:val="000000"/>
        </w:rPr>
        <w:t>,</w:t>
      </w:r>
      <w:r w:rsidR="00EC0A4B">
        <w:rPr>
          <w:rFonts w:ascii="Calibri" w:eastAsia="Calibri" w:hAnsi="Calibri" w:cs="Calibri"/>
          <w:b/>
          <w:bCs/>
          <w:color w:val="000000"/>
        </w:rPr>
        <w:t xml:space="preserve"> </w:t>
      </w:r>
      <w:r w:rsidR="00EC0A4B" w:rsidRPr="00D21270">
        <w:rPr>
          <w:rFonts w:ascii="Calibri" w:eastAsia="Calibri" w:hAnsi="Calibri" w:cs="Calibri"/>
          <w:color w:val="000000"/>
        </w:rPr>
        <w:t>to</w:t>
      </w:r>
      <w:r w:rsidR="00EC0A4B" w:rsidRPr="00F50B9A">
        <w:rPr>
          <w:rFonts w:ascii="Calibri" w:eastAsia="Calibri" w:hAnsi="Calibri" w:cs="Calibri"/>
          <w:color w:val="000000"/>
        </w:rPr>
        <w:t xml:space="preserve"> increase the number of GME slots by at least 2,000 per year over seven years (14,000 slots) for specialties facing shortages, including internal medicine.</w:t>
      </w:r>
    </w:p>
    <w:p w14:paraId="3F304B8C" w14:textId="6A0D4E3A" w:rsidR="00EC0A4B" w:rsidRDefault="007E7085">
      <w:pPr>
        <w:rPr>
          <w:rFonts w:ascii="Calibri" w:eastAsia="Calibri" w:hAnsi="Calibri" w:cs="Calibri"/>
          <w:color w:val="000000"/>
        </w:rPr>
      </w:pPr>
      <w:hyperlink r:id="rId9" w:history="1">
        <w:r w:rsidR="00EC0A4B" w:rsidRPr="00BF53E3">
          <w:rPr>
            <w:rStyle w:val="Hyperlink"/>
            <w:rFonts w:ascii="Calibri" w:eastAsia="Calibri" w:hAnsi="Calibri" w:cs="Calibri"/>
            <w:b/>
            <w:bCs/>
          </w:rPr>
          <w:t>H.R. 1554</w:t>
        </w:r>
      </w:hyperlink>
      <w:r w:rsidR="00EC0A4B">
        <w:rPr>
          <w:rFonts w:ascii="Calibri" w:eastAsia="Calibri" w:hAnsi="Calibri" w:cs="Calibri"/>
          <w:b/>
          <w:bCs/>
          <w:color w:val="000000"/>
        </w:rPr>
        <w:t xml:space="preserve"> (116</w:t>
      </w:r>
      <w:r w:rsidR="00EC0A4B" w:rsidRPr="00D21270">
        <w:rPr>
          <w:rFonts w:ascii="Calibri" w:eastAsia="Calibri" w:hAnsi="Calibri" w:cs="Calibri"/>
          <w:b/>
          <w:bCs/>
          <w:color w:val="000000"/>
          <w:vertAlign w:val="superscript"/>
        </w:rPr>
        <w:t>th</w:t>
      </w:r>
      <w:r w:rsidR="00EC0A4B">
        <w:rPr>
          <w:rFonts w:ascii="Calibri" w:eastAsia="Calibri" w:hAnsi="Calibri" w:cs="Calibri"/>
          <w:b/>
          <w:bCs/>
          <w:color w:val="000000"/>
        </w:rPr>
        <w:t xml:space="preserve"> Congress), </w:t>
      </w:r>
      <w:r w:rsidR="00EC0A4B" w:rsidRPr="00F50B9A">
        <w:rPr>
          <w:rFonts w:ascii="Calibri" w:eastAsia="Calibri" w:hAnsi="Calibri" w:cs="Calibri"/>
          <w:b/>
          <w:bCs/>
          <w:i/>
          <w:iCs/>
          <w:color w:val="000000"/>
        </w:rPr>
        <w:t>the Resident Education Deferred Interest Act</w:t>
      </w:r>
      <w:r w:rsidR="00EC0A4B">
        <w:rPr>
          <w:rFonts w:ascii="Calibri" w:eastAsia="Calibri" w:hAnsi="Calibri" w:cs="Calibri"/>
          <w:b/>
          <w:bCs/>
          <w:i/>
          <w:iCs/>
          <w:color w:val="000000"/>
        </w:rPr>
        <w:t>,</w:t>
      </w:r>
      <w:r w:rsidR="00EC0A4B" w:rsidRPr="00F50B9A">
        <w:rPr>
          <w:rFonts w:ascii="Calibri" w:eastAsia="Calibri" w:hAnsi="Calibri" w:cs="Calibri"/>
          <w:b/>
          <w:bCs/>
          <w:color w:val="000000"/>
        </w:rPr>
        <w:t xml:space="preserve"> </w:t>
      </w:r>
      <w:r w:rsidR="00EC0A4B" w:rsidRPr="00D21270">
        <w:rPr>
          <w:rFonts w:ascii="Calibri" w:eastAsia="Calibri" w:hAnsi="Calibri" w:cs="Calibri"/>
          <w:color w:val="000000"/>
        </w:rPr>
        <w:t>to</w:t>
      </w:r>
      <w:r w:rsidR="00EC0A4B">
        <w:rPr>
          <w:rFonts w:ascii="Calibri" w:eastAsia="Calibri" w:hAnsi="Calibri" w:cs="Calibri"/>
          <w:b/>
          <w:bCs/>
          <w:color w:val="000000"/>
        </w:rPr>
        <w:t xml:space="preserve"> </w:t>
      </w:r>
      <w:r w:rsidR="00EC0A4B" w:rsidRPr="00F50B9A">
        <w:rPr>
          <w:rFonts w:ascii="Calibri" w:eastAsia="Calibri" w:hAnsi="Calibri" w:cs="Calibri"/>
          <w:color w:val="000000"/>
        </w:rPr>
        <w:t>allow borrowers to qualify for interest-free deferment on their student loans while serving in a medical or dental internship or residency program.</w:t>
      </w:r>
    </w:p>
    <w:p w14:paraId="2CCDAFB2" w14:textId="7D0EDD99" w:rsidR="00EC0A4B" w:rsidRDefault="007E7085">
      <w:pPr>
        <w:rPr>
          <w:rFonts w:ascii="Calibri" w:eastAsia="Calibri" w:hAnsi="Calibri" w:cs="Calibri"/>
          <w:color w:val="000000"/>
        </w:rPr>
      </w:pPr>
      <w:hyperlink r:id="rId10" w:history="1">
        <w:r w:rsidR="00EC0A4B" w:rsidRPr="00F3321A">
          <w:rPr>
            <w:rStyle w:val="Hyperlink"/>
            <w:rFonts w:ascii="Calibri" w:eastAsia="Calibri" w:hAnsi="Calibri" w:cs="Calibri"/>
            <w:b/>
            <w:bCs/>
          </w:rPr>
          <w:t>S. 948</w:t>
        </w:r>
      </w:hyperlink>
      <w:r w:rsidR="00EC0A4B">
        <w:rPr>
          <w:rFonts w:ascii="Calibri" w:eastAsia="Calibri" w:hAnsi="Calibri" w:cs="Calibri"/>
          <w:b/>
          <w:bCs/>
          <w:color w:val="000000"/>
        </w:rPr>
        <w:t xml:space="preserve">, </w:t>
      </w:r>
      <w:r w:rsidR="00EC0A4B" w:rsidRPr="00F50B9A">
        <w:rPr>
          <w:rFonts w:ascii="Calibri" w:eastAsia="Calibri" w:hAnsi="Calibri" w:cs="Calibri"/>
          <w:b/>
          <w:bCs/>
          <w:i/>
          <w:iCs/>
          <w:color w:val="000000"/>
        </w:rPr>
        <w:t>the Conrad State 30 and Physician Access Reauthorization Act</w:t>
      </w:r>
      <w:r w:rsidR="00EC0A4B" w:rsidRPr="00F50B9A">
        <w:rPr>
          <w:rFonts w:ascii="Calibri" w:eastAsia="Calibri" w:hAnsi="Calibri" w:cs="Calibri"/>
          <w:b/>
          <w:bCs/>
          <w:color w:val="000000"/>
        </w:rPr>
        <w:t xml:space="preserve"> (116</w:t>
      </w:r>
      <w:r w:rsidR="00EC0A4B" w:rsidRPr="00F50B9A">
        <w:rPr>
          <w:rFonts w:ascii="Calibri" w:eastAsia="Calibri" w:hAnsi="Calibri" w:cs="Calibri"/>
          <w:b/>
          <w:bCs/>
          <w:color w:val="000000"/>
          <w:vertAlign w:val="superscript"/>
        </w:rPr>
        <w:t>th</w:t>
      </w:r>
      <w:r w:rsidR="00EC0A4B" w:rsidRPr="00F50B9A">
        <w:rPr>
          <w:rFonts w:ascii="Calibri" w:eastAsia="Calibri" w:hAnsi="Calibri" w:cs="Calibri"/>
          <w:b/>
          <w:bCs/>
          <w:color w:val="000000"/>
        </w:rPr>
        <w:t xml:space="preserve"> Congress) and </w:t>
      </w:r>
      <w:hyperlink r:id="rId11" w:history="1">
        <w:r w:rsidR="00EC0A4B" w:rsidRPr="00F3321A">
          <w:rPr>
            <w:rStyle w:val="Hyperlink"/>
            <w:rFonts w:ascii="Calibri" w:eastAsia="Calibri" w:hAnsi="Calibri" w:cs="Calibri"/>
            <w:b/>
            <w:bCs/>
          </w:rPr>
          <w:t>S. 3599</w:t>
        </w:r>
      </w:hyperlink>
      <w:r w:rsidR="00EC0A4B">
        <w:rPr>
          <w:rFonts w:ascii="Calibri" w:eastAsia="Calibri" w:hAnsi="Calibri" w:cs="Calibri"/>
          <w:b/>
          <w:bCs/>
          <w:color w:val="000000"/>
        </w:rPr>
        <w:t xml:space="preserve"> (116</w:t>
      </w:r>
      <w:r w:rsidR="00EC0A4B" w:rsidRPr="00D21270">
        <w:rPr>
          <w:rFonts w:ascii="Calibri" w:eastAsia="Calibri" w:hAnsi="Calibri" w:cs="Calibri"/>
          <w:b/>
          <w:bCs/>
          <w:color w:val="000000"/>
          <w:vertAlign w:val="superscript"/>
        </w:rPr>
        <w:t>th</w:t>
      </w:r>
      <w:r w:rsidR="00EC0A4B">
        <w:rPr>
          <w:rFonts w:ascii="Calibri" w:eastAsia="Calibri" w:hAnsi="Calibri" w:cs="Calibri"/>
          <w:b/>
          <w:bCs/>
          <w:color w:val="000000"/>
        </w:rPr>
        <w:t xml:space="preserve"> Congress), </w:t>
      </w:r>
      <w:r w:rsidR="00EC0A4B" w:rsidRPr="00F50B9A">
        <w:rPr>
          <w:rFonts w:ascii="Calibri" w:eastAsia="Calibri" w:hAnsi="Calibri" w:cs="Calibri"/>
          <w:b/>
          <w:bCs/>
          <w:i/>
          <w:iCs/>
          <w:color w:val="000000"/>
        </w:rPr>
        <w:t>the Healthcare Workforce Resilience Act</w:t>
      </w:r>
      <w:r w:rsidR="00EC0A4B">
        <w:rPr>
          <w:rFonts w:ascii="Calibri" w:eastAsia="Calibri" w:hAnsi="Calibri" w:cs="Calibri"/>
          <w:b/>
          <w:bCs/>
          <w:i/>
          <w:iCs/>
          <w:color w:val="000000"/>
        </w:rPr>
        <w:t>,</w:t>
      </w:r>
      <w:r w:rsidR="00EC0A4B" w:rsidRPr="00F50B9A">
        <w:rPr>
          <w:rFonts w:ascii="Calibri" w:eastAsia="Calibri" w:hAnsi="Calibri" w:cs="Calibri"/>
          <w:b/>
          <w:bCs/>
          <w:color w:val="000000"/>
        </w:rPr>
        <w:t xml:space="preserve"> </w:t>
      </w:r>
      <w:r w:rsidR="00EC0A4B" w:rsidRPr="00D21270">
        <w:rPr>
          <w:rFonts w:ascii="Calibri" w:eastAsia="Calibri" w:hAnsi="Calibri" w:cs="Calibri"/>
          <w:color w:val="000000"/>
        </w:rPr>
        <w:t>to</w:t>
      </w:r>
      <w:r w:rsidR="00EC0A4B">
        <w:rPr>
          <w:rFonts w:ascii="Calibri" w:eastAsia="Calibri" w:hAnsi="Calibri" w:cs="Calibri"/>
          <w:b/>
          <w:bCs/>
          <w:color w:val="000000"/>
        </w:rPr>
        <w:t xml:space="preserve"> </w:t>
      </w:r>
      <w:r w:rsidR="00EC0A4B" w:rsidRPr="00F50B9A">
        <w:rPr>
          <w:rFonts w:ascii="Calibri" w:eastAsia="Calibri" w:hAnsi="Calibri" w:cs="Calibri"/>
          <w:color w:val="000000"/>
        </w:rPr>
        <w:t>support the COVID-19 response workforce by expediting visas for international medical graduates (IMGs) to enter the U.S. for training and patient care, permanently authorizing the Conrad 30 Program, and providing a pathway for IMGs and their families already in the U.S to obtain permanent residency status.</w:t>
      </w:r>
    </w:p>
    <w:p w14:paraId="328FF29F" w14:textId="2BC65C52" w:rsidR="00EC0A4B" w:rsidRDefault="007E7085">
      <w:pPr>
        <w:rPr>
          <w:rFonts w:ascii="Calibri" w:eastAsia="Calibri" w:hAnsi="Calibri" w:cs="Calibri"/>
          <w:color w:val="000000"/>
        </w:rPr>
      </w:pPr>
      <w:hyperlink r:id="rId12" w:history="1">
        <w:r w:rsidR="00EC0A4B" w:rsidRPr="00F3321A">
          <w:rPr>
            <w:rStyle w:val="Hyperlink"/>
            <w:rFonts w:ascii="Calibri" w:eastAsia="Calibri" w:hAnsi="Calibri" w:cs="Calibri"/>
            <w:b/>
            <w:bCs/>
          </w:rPr>
          <w:t>H.R. 2418</w:t>
        </w:r>
      </w:hyperlink>
      <w:r w:rsidR="00EC0A4B">
        <w:rPr>
          <w:rFonts w:ascii="Calibri" w:eastAsia="Calibri" w:hAnsi="Calibri" w:cs="Calibri"/>
          <w:b/>
          <w:bCs/>
          <w:color w:val="000000"/>
        </w:rPr>
        <w:t xml:space="preserve">, </w:t>
      </w:r>
      <w:r w:rsidR="00EC0A4B" w:rsidRPr="00F50B9A">
        <w:rPr>
          <w:rFonts w:ascii="Calibri" w:eastAsia="Calibri" w:hAnsi="Calibri" w:cs="Calibri"/>
          <w:b/>
          <w:bCs/>
          <w:i/>
          <w:iCs/>
          <w:color w:val="000000"/>
        </w:rPr>
        <w:t>the Student Loan Forgiveness for Frontline Health Workers Act</w:t>
      </w:r>
      <w:r w:rsidR="00EC0A4B">
        <w:rPr>
          <w:rFonts w:ascii="Calibri" w:eastAsia="Calibri" w:hAnsi="Calibri" w:cs="Calibri"/>
          <w:b/>
          <w:bCs/>
          <w:i/>
          <w:iCs/>
          <w:color w:val="000000"/>
        </w:rPr>
        <w:t>,</w:t>
      </w:r>
      <w:r w:rsidR="00EC0A4B" w:rsidRPr="00F50B9A">
        <w:rPr>
          <w:rFonts w:ascii="Calibri" w:eastAsia="Calibri" w:hAnsi="Calibri" w:cs="Calibri"/>
          <w:b/>
          <w:bCs/>
          <w:color w:val="000000"/>
        </w:rPr>
        <w:t xml:space="preserve"> </w:t>
      </w:r>
      <w:r w:rsidR="00EC0A4B" w:rsidRPr="00D21270">
        <w:rPr>
          <w:rFonts w:ascii="Calibri" w:eastAsia="Calibri" w:hAnsi="Calibri" w:cs="Calibri"/>
          <w:color w:val="000000"/>
        </w:rPr>
        <w:t>to</w:t>
      </w:r>
      <w:r w:rsidR="00EC0A4B" w:rsidRPr="00F50B9A">
        <w:rPr>
          <w:rFonts w:ascii="Calibri" w:eastAsia="Calibri" w:hAnsi="Calibri" w:cs="Calibri"/>
          <w:color w:val="000000"/>
        </w:rPr>
        <w:t xml:space="preserve"> forgive student loans for physicians and other clinicians who are on the frontlines of providing care to COVID-19 patients or helping the health care system cope with the COVID-19 public health emergency.</w:t>
      </w:r>
    </w:p>
    <w:p w14:paraId="2EBEDFD7" w14:textId="4A970739" w:rsidR="00EC0A4B" w:rsidRDefault="007E7085" w:rsidP="00EC0A4B">
      <w:pPr>
        <w:spacing w:after="240"/>
        <w:rPr>
          <w:rFonts w:ascii="Calibri" w:eastAsia="Calibri" w:hAnsi="Calibri" w:cs="Calibri"/>
          <w:color w:val="000000"/>
        </w:rPr>
      </w:pPr>
      <w:hyperlink r:id="rId13" w:history="1">
        <w:r w:rsidR="00EC0A4B" w:rsidRPr="00F3321A">
          <w:rPr>
            <w:rStyle w:val="Hyperlink"/>
            <w:rFonts w:ascii="Calibri" w:eastAsia="Calibri" w:hAnsi="Calibri" w:cs="Calibri"/>
            <w:b/>
            <w:bCs/>
          </w:rPr>
          <w:t>H.R. 1667</w:t>
        </w:r>
      </w:hyperlink>
      <w:r w:rsidR="00EC0A4B" w:rsidRPr="00D21270">
        <w:rPr>
          <w:rFonts w:ascii="Calibri" w:eastAsia="Calibri" w:hAnsi="Calibri" w:cs="Calibri"/>
          <w:b/>
          <w:bCs/>
          <w:color w:val="000000"/>
        </w:rPr>
        <w:t>/</w:t>
      </w:r>
      <w:hyperlink r:id="rId14" w:history="1">
        <w:r w:rsidR="00EC0A4B" w:rsidRPr="00F3321A">
          <w:rPr>
            <w:rStyle w:val="Hyperlink"/>
            <w:rFonts w:ascii="Calibri" w:eastAsia="Calibri" w:hAnsi="Calibri" w:cs="Calibri"/>
            <w:b/>
            <w:bCs/>
          </w:rPr>
          <w:t>S. 610</w:t>
        </w:r>
      </w:hyperlink>
      <w:r w:rsidR="00EC0A4B" w:rsidRPr="00D21270">
        <w:rPr>
          <w:rFonts w:ascii="Calibri" w:eastAsia="Calibri" w:hAnsi="Calibri" w:cs="Calibri"/>
          <w:b/>
          <w:bCs/>
          <w:color w:val="000000"/>
        </w:rPr>
        <w:t xml:space="preserve">, </w:t>
      </w:r>
      <w:r w:rsidR="00EC0A4B" w:rsidRPr="00D21270">
        <w:rPr>
          <w:rFonts w:ascii="Calibri" w:eastAsia="Calibri" w:hAnsi="Calibri" w:cs="Calibri"/>
          <w:b/>
          <w:bCs/>
          <w:i/>
          <w:iCs/>
          <w:color w:val="000000"/>
        </w:rPr>
        <w:t>the Dr. Lorna Breen Health Care Provider Protection Act</w:t>
      </w:r>
      <w:r w:rsidR="00EC0A4B" w:rsidRPr="00D21270">
        <w:rPr>
          <w:rFonts w:ascii="Calibri" w:eastAsia="Calibri" w:hAnsi="Calibri" w:cs="Calibri"/>
          <w:b/>
          <w:bCs/>
          <w:color w:val="000000"/>
        </w:rPr>
        <w:t xml:space="preserve">, </w:t>
      </w:r>
      <w:r w:rsidR="00EC0A4B" w:rsidRPr="00D21270">
        <w:rPr>
          <w:rFonts w:ascii="Calibri" w:eastAsia="Calibri" w:hAnsi="Calibri" w:cs="Calibri"/>
          <w:color w:val="000000"/>
        </w:rPr>
        <w:t xml:space="preserve">to address the behavioral health and well-being of physicians, including depression, suicides and burnout.  </w:t>
      </w:r>
    </w:p>
    <w:p w14:paraId="1DBBCC84" w14:textId="53CC0CA0" w:rsidR="00EC0A4B" w:rsidRDefault="00EC0A4B" w:rsidP="00EC0A4B">
      <w:pPr>
        <w:pStyle w:val="Default"/>
        <w:rPr>
          <w:rFonts w:eastAsia="Calibri"/>
          <w:b/>
          <w:color w:val="auto"/>
          <w:sz w:val="22"/>
          <w:szCs w:val="22"/>
          <w:u w:val="single"/>
          <w:bdr w:val="nil"/>
        </w:rPr>
      </w:pPr>
      <w:r w:rsidRPr="00707A59">
        <w:rPr>
          <w:rFonts w:eastAsia="Calibri"/>
          <w:b/>
          <w:color w:val="auto"/>
          <w:sz w:val="22"/>
          <w:szCs w:val="22"/>
          <w:u w:val="single"/>
          <w:bdr w:val="nil"/>
        </w:rPr>
        <w:t>SUPPORT THE VALUE OF PRIMARY AND COMPREHENSIVE CARE</w:t>
      </w:r>
    </w:p>
    <w:p w14:paraId="560D4A90" w14:textId="77777777" w:rsidR="00EC0A4B" w:rsidRPr="00707A59" w:rsidRDefault="00EC0A4B" w:rsidP="00EC0A4B">
      <w:pPr>
        <w:pStyle w:val="Default"/>
        <w:rPr>
          <w:rFonts w:eastAsia="Calibri"/>
          <w:b/>
          <w:color w:val="auto"/>
          <w:sz w:val="22"/>
          <w:szCs w:val="22"/>
          <w:u w:val="single"/>
          <w:bdr w:val="nil"/>
        </w:rPr>
      </w:pPr>
    </w:p>
    <w:p w14:paraId="0394334D" w14:textId="01926F20" w:rsidR="00EC0A4B" w:rsidRDefault="007E7085" w:rsidP="00EC0A4B">
      <w:pPr>
        <w:spacing w:after="240"/>
        <w:rPr>
          <w:rFonts w:eastAsiaTheme="majorEastAsia" w:cstheme="majorBidi"/>
        </w:rPr>
      </w:pPr>
      <w:hyperlink r:id="rId15" w:history="1">
        <w:r w:rsidR="00EC0A4B" w:rsidRPr="00F40532">
          <w:rPr>
            <w:rStyle w:val="Hyperlink"/>
            <w:rFonts w:eastAsiaTheme="majorEastAsia" w:cstheme="majorBidi"/>
            <w:b/>
            <w:bCs/>
          </w:rPr>
          <w:t>H.R. 1025</w:t>
        </w:r>
      </w:hyperlink>
      <w:r w:rsidR="00EC0A4B">
        <w:rPr>
          <w:rFonts w:eastAsiaTheme="majorEastAsia" w:cstheme="majorBidi"/>
          <w:b/>
          <w:bCs/>
        </w:rPr>
        <w:t xml:space="preserve">, </w:t>
      </w:r>
      <w:r w:rsidR="00EC0A4B" w:rsidRPr="000361DA">
        <w:rPr>
          <w:rFonts w:eastAsiaTheme="majorEastAsia" w:cstheme="majorBidi"/>
          <w:b/>
          <w:bCs/>
          <w:i/>
          <w:iCs/>
        </w:rPr>
        <w:t>the Kids’ Access to Primary Care Act</w:t>
      </w:r>
      <w:r w:rsidR="00EC0A4B">
        <w:rPr>
          <w:rFonts w:eastAsiaTheme="majorEastAsia" w:cstheme="majorBidi"/>
          <w:b/>
          <w:bCs/>
        </w:rPr>
        <w:t>,</w:t>
      </w:r>
      <w:r w:rsidR="00EC0A4B" w:rsidRPr="00F75C4B">
        <w:rPr>
          <w:rFonts w:eastAsiaTheme="majorEastAsia" w:cstheme="majorBidi"/>
          <w:b/>
          <w:bCs/>
        </w:rPr>
        <w:t xml:space="preserve"> to increase access to health coverage for Medicaid patients </w:t>
      </w:r>
      <w:r w:rsidR="00EC0A4B" w:rsidRPr="00707A59">
        <w:rPr>
          <w:rFonts w:eastAsiaTheme="majorEastAsia" w:cstheme="majorBidi"/>
        </w:rPr>
        <w:t>by achieving payment parity for primary care services under Medicaid and Medicare.</w:t>
      </w:r>
    </w:p>
    <w:p w14:paraId="6D7B8875" w14:textId="7FCA4EC2" w:rsidR="00EC0A4B" w:rsidRDefault="00EC0A4B" w:rsidP="00EC0A4B">
      <w:pPr>
        <w:pStyle w:val="Default"/>
        <w:rPr>
          <w:rFonts w:eastAsia="Calibri"/>
          <w:b/>
          <w:color w:val="auto"/>
          <w:sz w:val="22"/>
          <w:szCs w:val="22"/>
          <w:u w:val="single"/>
          <w:bdr w:val="nil"/>
        </w:rPr>
      </w:pPr>
      <w:r w:rsidRPr="00680CEE">
        <w:rPr>
          <w:rFonts w:eastAsia="Calibri"/>
          <w:b/>
          <w:color w:val="auto"/>
          <w:sz w:val="22"/>
          <w:szCs w:val="22"/>
          <w:u w:val="single"/>
          <w:bdr w:val="nil"/>
        </w:rPr>
        <w:t>IMPROVE ACCESS TO PRESCRIPTION DRUGS AND REDUCE COSTS</w:t>
      </w:r>
    </w:p>
    <w:p w14:paraId="0F3C71F9" w14:textId="1CED1CEC" w:rsidR="00EC0A4B" w:rsidRDefault="00EC0A4B" w:rsidP="00EC0A4B">
      <w:pPr>
        <w:pStyle w:val="Default"/>
        <w:rPr>
          <w:rFonts w:eastAsia="Calibri"/>
          <w:b/>
          <w:color w:val="auto"/>
          <w:sz w:val="22"/>
          <w:szCs w:val="22"/>
          <w:u w:val="single"/>
          <w:bdr w:val="nil"/>
        </w:rPr>
      </w:pPr>
    </w:p>
    <w:p w14:paraId="4F7B5DCE" w14:textId="6BB0539D" w:rsidR="00EC0A4B" w:rsidRDefault="007E7085" w:rsidP="00EC0A4B">
      <w:pPr>
        <w:pStyle w:val="Default"/>
        <w:rPr>
          <w:rFonts w:eastAsia="Calibri"/>
        </w:rPr>
      </w:pPr>
      <w:hyperlink r:id="rId16" w:history="1">
        <w:r w:rsidR="00EC0A4B" w:rsidRPr="00F40532">
          <w:rPr>
            <w:rStyle w:val="Hyperlink"/>
            <w:rFonts w:eastAsia="Calibri"/>
            <w:b/>
            <w:bCs/>
            <w:sz w:val="22"/>
            <w:szCs w:val="22"/>
          </w:rPr>
          <w:t>S. 898</w:t>
        </w:r>
      </w:hyperlink>
      <w:r w:rsidR="00EC0A4B" w:rsidRPr="00F201B4">
        <w:rPr>
          <w:rFonts w:eastAsia="Calibri"/>
          <w:b/>
          <w:bCs/>
          <w:sz w:val="22"/>
          <w:szCs w:val="22"/>
        </w:rPr>
        <w:t xml:space="preserve">, the </w:t>
      </w:r>
      <w:r w:rsidR="00EC0A4B" w:rsidRPr="00F201B4">
        <w:rPr>
          <w:rFonts w:eastAsia="Calibri"/>
          <w:b/>
          <w:bCs/>
          <w:i/>
          <w:iCs/>
          <w:sz w:val="22"/>
          <w:szCs w:val="22"/>
        </w:rPr>
        <w:t>Fair Drug Pricing Act,</w:t>
      </w:r>
      <w:r w:rsidR="00EC0A4B" w:rsidRPr="00F201B4">
        <w:rPr>
          <w:rFonts w:eastAsia="Calibri"/>
          <w:b/>
          <w:bCs/>
          <w:sz w:val="22"/>
          <w:szCs w:val="22"/>
        </w:rPr>
        <w:t xml:space="preserve"> </w:t>
      </w:r>
      <w:r w:rsidR="00EC0A4B" w:rsidRPr="00F201B4">
        <w:rPr>
          <w:rFonts w:eastAsia="Calibri"/>
          <w:sz w:val="22"/>
          <w:szCs w:val="22"/>
        </w:rPr>
        <w:t>to</w:t>
      </w:r>
      <w:r w:rsidR="00EC0A4B" w:rsidRPr="00F201B4">
        <w:rPr>
          <w:rFonts w:eastAsia="Calibri"/>
          <w:b/>
          <w:bCs/>
          <w:sz w:val="22"/>
          <w:szCs w:val="22"/>
        </w:rPr>
        <w:t xml:space="preserve"> </w:t>
      </w:r>
      <w:r w:rsidR="00EC0A4B" w:rsidRPr="00F201B4">
        <w:rPr>
          <w:rFonts w:eastAsia="Calibri"/>
          <w:sz w:val="22"/>
          <w:szCs w:val="22"/>
        </w:rPr>
        <w:t>require drug companies to disclose and provide more information about imminent drug-price increases, including data about research and development costs</w:t>
      </w:r>
      <w:r w:rsidR="00EC0A4B">
        <w:rPr>
          <w:rFonts w:eastAsia="Calibri"/>
        </w:rPr>
        <w:t xml:space="preserve">.  </w:t>
      </w:r>
    </w:p>
    <w:p w14:paraId="4646B211" w14:textId="77777777" w:rsidR="00DE09E8" w:rsidRPr="00680CEE" w:rsidRDefault="00DE09E8" w:rsidP="00EC0A4B">
      <w:pPr>
        <w:pStyle w:val="Default"/>
        <w:rPr>
          <w:rFonts w:eastAsia="Calibri"/>
          <w:b/>
          <w:color w:val="auto"/>
          <w:sz w:val="22"/>
          <w:szCs w:val="22"/>
          <w:u w:val="single"/>
          <w:bdr w:val="nil"/>
        </w:rPr>
      </w:pPr>
    </w:p>
    <w:p w14:paraId="02CF8059" w14:textId="7C9E64A1" w:rsidR="00EC0A4B" w:rsidRDefault="007E7085" w:rsidP="00EC0A4B">
      <w:pPr>
        <w:spacing w:after="240"/>
      </w:pPr>
      <w:hyperlink r:id="rId17" w:history="1">
        <w:r w:rsidR="00DE09E8" w:rsidRPr="00F40532">
          <w:rPr>
            <w:rStyle w:val="Hyperlink"/>
            <w:b/>
            <w:bCs/>
          </w:rPr>
          <w:t>S. 833</w:t>
        </w:r>
      </w:hyperlink>
      <w:r w:rsidR="00DE09E8" w:rsidRPr="00F201B4">
        <w:rPr>
          <w:b/>
          <w:bCs/>
        </w:rPr>
        <w:t xml:space="preserve">, </w:t>
      </w:r>
      <w:r w:rsidR="00DE09E8" w:rsidRPr="00F201B4">
        <w:rPr>
          <w:rFonts w:eastAsiaTheme="minorEastAsia"/>
          <w:b/>
          <w:bCs/>
          <w:color w:val="000000" w:themeColor="text1"/>
        </w:rPr>
        <w:t xml:space="preserve">the </w:t>
      </w:r>
      <w:r w:rsidR="00DE09E8" w:rsidRPr="00F201B4">
        <w:rPr>
          <w:rFonts w:eastAsiaTheme="minorEastAsia"/>
          <w:b/>
          <w:bCs/>
          <w:i/>
          <w:iCs/>
          <w:color w:val="000000" w:themeColor="text1"/>
        </w:rPr>
        <w:t>Empowering Medicare Seniors to Negotiate Drug Prices Act of 2021,</w:t>
      </w:r>
      <w:r w:rsidR="00DE09E8" w:rsidRPr="00F201B4">
        <w:rPr>
          <w:rFonts w:eastAsiaTheme="minorEastAsia"/>
          <w:b/>
          <w:bCs/>
          <w:color w:val="000000" w:themeColor="text1"/>
        </w:rPr>
        <w:t xml:space="preserve"> </w:t>
      </w:r>
      <w:r w:rsidR="00DE09E8" w:rsidRPr="00F201B4">
        <w:rPr>
          <w:rFonts w:eastAsiaTheme="minorEastAsia"/>
          <w:color w:val="000000" w:themeColor="text1"/>
        </w:rPr>
        <w:t>to</w:t>
      </w:r>
      <w:r w:rsidR="00DE09E8" w:rsidRPr="00F201B4">
        <w:rPr>
          <w:rFonts w:eastAsiaTheme="minorEastAsia"/>
          <w:b/>
          <w:bCs/>
          <w:color w:val="000000" w:themeColor="text1"/>
        </w:rPr>
        <w:t xml:space="preserve"> </w:t>
      </w:r>
      <w:r w:rsidR="00DE09E8" w:rsidRPr="00F201B4">
        <w:t>help to reduce drug prices and out-of-pocket costs by allowing the federal government to negotiate lower drug prices on behalf of Medicare beneficiaries</w:t>
      </w:r>
      <w:r w:rsidR="00DE09E8">
        <w:t xml:space="preserve">.  </w:t>
      </w:r>
    </w:p>
    <w:p w14:paraId="633BF6B9" w14:textId="6574B826" w:rsidR="00DE09E8" w:rsidRDefault="007E7085" w:rsidP="00EC0A4B">
      <w:pPr>
        <w:spacing w:after="240"/>
        <w:rPr>
          <w:rFonts w:eastAsiaTheme="minorEastAsia"/>
          <w:color w:val="000000" w:themeColor="text1"/>
        </w:rPr>
      </w:pPr>
      <w:hyperlink r:id="rId18" w:history="1">
        <w:r w:rsidR="00DE09E8" w:rsidRPr="00F40532">
          <w:rPr>
            <w:rStyle w:val="Hyperlink"/>
            <w:rFonts w:ascii="Calibri" w:eastAsia="Calibri" w:hAnsi="Calibri" w:cs="Calibri"/>
            <w:b/>
            <w:bCs/>
          </w:rPr>
          <w:t>S. 141</w:t>
        </w:r>
      </w:hyperlink>
      <w:r w:rsidR="00DE09E8" w:rsidRPr="00F201B4">
        <w:rPr>
          <w:rFonts w:ascii="Calibri" w:eastAsia="Calibri" w:hAnsi="Calibri" w:cs="Calibri"/>
          <w:b/>
          <w:bCs/>
        </w:rPr>
        <w:t xml:space="preserve">, the </w:t>
      </w:r>
      <w:r w:rsidR="00DE09E8" w:rsidRPr="00F201B4">
        <w:rPr>
          <w:rFonts w:eastAsiaTheme="minorEastAsia"/>
          <w:b/>
          <w:bCs/>
          <w:i/>
          <w:iCs/>
          <w:color w:val="000000" w:themeColor="text1"/>
        </w:rPr>
        <w:t>End Taxpayer Subsidies for Drug Ads Act,</w:t>
      </w:r>
      <w:r w:rsidR="00DE09E8" w:rsidRPr="00F201B4">
        <w:rPr>
          <w:rFonts w:eastAsiaTheme="minorEastAsia"/>
          <w:b/>
          <w:bCs/>
          <w:color w:val="000000" w:themeColor="text1"/>
        </w:rPr>
        <w:t xml:space="preserve"> </w:t>
      </w:r>
      <w:r w:rsidR="00DE09E8" w:rsidRPr="00F201B4">
        <w:rPr>
          <w:rFonts w:eastAsiaTheme="minorEastAsia"/>
          <w:color w:val="000000" w:themeColor="text1"/>
        </w:rPr>
        <w:t>to</w:t>
      </w:r>
      <w:r w:rsidR="00DE09E8" w:rsidRPr="00F201B4">
        <w:rPr>
          <w:rFonts w:eastAsiaTheme="minorEastAsia"/>
          <w:b/>
          <w:bCs/>
          <w:color w:val="000000" w:themeColor="text1"/>
        </w:rPr>
        <w:t xml:space="preserve"> </w:t>
      </w:r>
      <w:r w:rsidR="00DE09E8" w:rsidRPr="00F201B4">
        <w:rPr>
          <w:rFonts w:eastAsiaTheme="minorEastAsia"/>
          <w:color w:val="000000" w:themeColor="text1"/>
        </w:rPr>
        <w:t>end the federal tax deduction that pharmaceutical companies use to pay for drug advertising</w:t>
      </w:r>
      <w:r w:rsidR="00DE09E8">
        <w:rPr>
          <w:rFonts w:eastAsiaTheme="minorEastAsia"/>
          <w:color w:val="000000" w:themeColor="text1"/>
        </w:rPr>
        <w:t xml:space="preserve">.  </w:t>
      </w:r>
    </w:p>
    <w:p w14:paraId="3C3CD68C" w14:textId="44E549F1" w:rsidR="00DE09E8" w:rsidRDefault="007E7085" w:rsidP="00DE09E8">
      <w:pPr>
        <w:spacing w:after="0" w:line="240" w:lineRule="auto"/>
        <w:rPr>
          <w:rFonts w:eastAsiaTheme="minorEastAsia"/>
          <w:b/>
          <w:bCs/>
          <w:i/>
          <w:iCs/>
          <w:color w:val="000000" w:themeColor="text1"/>
        </w:rPr>
      </w:pPr>
      <w:hyperlink r:id="rId19" w:history="1">
        <w:r w:rsidR="00DE09E8" w:rsidRPr="00F40532">
          <w:rPr>
            <w:rStyle w:val="Hyperlink"/>
            <w:rFonts w:eastAsiaTheme="minorEastAsia"/>
            <w:b/>
            <w:bCs/>
          </w:rPr>
          <w:t>S. 464</w:t>
        </w:r>
      </w:hyperlink>
      <w:r w:rsidR="00DE09E8" w:rsidRPr="00DE09E8">
        <w:rPr>
          <w:rFonts w:eastAsiaTheme="minorEastAsia"/>
          <w:b/>
          <w:bCs/>
          <w:color w:val="000000" w:themeColor="text1"/>
        </w:rPr>
        <w:t xml:space="preserve"> and </w:t>
      </w:r>
      <w:hyperlink r:id="rId20" w:history="1">
        <w:r w:rsidR="00DE09E8" w:rsidRPr="00F40532">
          <w:rPr>
            <w:rStyle w:val="Hyperlink"/>
            <w:rFonts w:eastAsiaTheme="minorEastAsia"/>
            <w:b/>
            <w:bCs/>
          </w:rPr>
          <w:t>H.R. 2163</w:t>
        </w:r>
      </w:hyperlink>
      <w:r w:rsidR="00DE09E8" w:rsidRPr="00DE09E8">
        <w:rPr>
          <w:rFonts w:eastAsiaTheme="minorEastAsia"/>
          <w:color w:val="000000" w:themeColor="text1"/>
        </w:rPr>
        <w:t>,</w:t>
      </w:r>
      <w:r w:rsidR="00DE09E8" w:rsidRPr="00DE09E8">
        <w:rPr>
          <w:rFonts w:eastAsiaTheme="minorEastAsia"/>
          <w:b/>
          <w:bCs/>
          <w:color w:val="000000" w:themeColor="text1"/>
        </w:rPr>
        <w:t xml:space="preserve"> </w:t>
      </w:r>
      <w:r w:rsidR="00DE09E8" w:rsidRPr="00DE09E8">
        <w:rPr>
          <w:rFonts w:eastAsiaTheme="minorEastAsia"/>
          <w:b/>
          <w:bCs/>
          <w:i/>
          <w:iCs/>
          <w:color w:val="000000" w:themeColor="text1"/>
        </w:rPr>
        <w:t>the Safe Step Act</w:t>
      </w:r>
      <w:r w:rsidR="00DE09E8" w:rsidRPr="00DE09E8">
        <w:rPr>
          <w:rFonts w:eastAsiaTheme="minorEastAsia"/>
          <w:b/>
          <w:bCs/>
          <w:color w:val="000000" w:themeColor="text1"/>
        </w:rPr>
        <w:t xml:space="preserve">, </w:t>
      </w:r>
      <w:r w:rsidR="00DE09E8" w:rsidRPr="00DE09E8">
        <w:rPr>
          <w:rFonts w:eastAsiaTheme="minorEastAsia"/>
          <w:color w:val="000000" w:themeColor="text1"/>
        </w:rPr>
        <w:t>to ensure patient access to appropriate treatments based on clinical decision-making and medical necessity rather than arbitrary step therapy protocols.</w:t>
      </w:r>
    </w:p>
    <w:p w14:paraId="3EE6E451" w14:textId="77777777" w:rsidR="00DE09E8" w:rsidRPr="00DE09E8" w:rsidRDefault="00DE09E8" w:rsidP="00DE09E8">
      <w:pPr>
        <w:spacing w:after="0" w:line="240" w:lineRule="auto"/>
        <w:rPr>
          <w:rFonts w:eastAsiaTheme="minorEastAsia"/>
          <w:b/>
          <w:bCs/>
          <w:i/>
          <w:iCs/>
          <w:color w:val="000000" w:themeColor="text1"/>
        </w:rPr>
      </w:pPr>
    </w:p>
    <w:p w14:paraId="1BD4EC38" w14:textId="77777777" w:rsidR="00DE09E8" w:rsidRDefault="00DE09E8" w:rsidP="00DE09E8">
      <w:pPr>
        <w:pStyle w:val="Default"/>
        <w:rPr>
          <w:rFonts w:eastAsia="Calibri"/>
          <w:b/>
          <w:color w:val="auto"/>
          <w:sz w:val="22"/>
          <w:szCs w:val="22"/>
          <w:u w:val="single"/>
          <w:bdr w:val="nil"/>
        </w:rPr>
      </w:pPr>
    </w:p>
    <w:p w14:paraId="335594B6" w14:textId="77777777" w:rsidR="00DE09E8" w:rsidRDefault="00DE09E8" w:rsidP="00DE09E8">
      <w:pPr>
        <w:pStyle w:val="Default"/>
        <w:rPr>
          <w:rFonts w:eastAsia="Calibri"/>
          <w:b/>
          <w:color w:val="auto"/>
          <w:sz w:val="22"/>
          <w:szCs w:val="22"/>
          <w:u w:val="single"/>
          <w:bdr w:val="nil"/>
        </w:rPr>
      </w:pPr>
    </w:p>
    <w:p w14:paraId="76515F0F" w14:textId="77777777" w:rsidR="008C4D95" w:rsidRPr="00D66870" w:rsidRDefault="008C4D95" w:rsidP="008C4D95">
      <w:pPr>
        <w:pStyle w:val="Default"/>
        <w:rPr>
          <w:color w:val="auto"/>
          <w:sz w:val="22"/>
          <w:szCs w:val="22"/>
          <w:u w:val="single"/>
        </w:rPr>
      </w:pPr>
      <w:r w:rsidRPr="00D66870">
        <w:rPr>
          <w:rFonts w:eastAsiaTheme="majorEastAsia" w:cstheme="majorBidi"/>
          <w:b/>
          <w:bCs/>
          <w:color w:val="auto"/>
          <w:sz w:val="22"/>
          <w:szCs w:val="22"/>
          <w:u w:val="single"/>
        </w:rPr>
        <w:t>Support Essential Public Health and Research Initiatives</w:t>
      </w:r>
    </w:p>
    <w:p w14:paraId="1175E562" w14:textId="4B2C1C95" w:rsidR="00DE09E8" w:rsidRDefault="00DE09E8" w:rsidP="00DE09E8">
      <w:pPr>
        <w:pStyle w:val="Default"/>
        <w:rPr>
          <w:rFonts w:eastAsia="Calibri"/>
          <w:b/>
          <w:color w:val="auto"/>
          <w:sz w:val="22"/>
          <w:szCs w:val="22"/>
          <w:u w:val="single"/>
          <w:bdr w:val="nil"/>
        </w:rPr>
      </w:pPr>
    </w:p>
    <w:p w14:paraId="10159201" w14:textId="701756D7" w:rsidR="00DE09E8" w:rsidRPr="00DE09E8" w:rsidRDefault="007E7085" w:rsidP="00DE09E8">
      <w:pPr>
        <w:pStyle w:val="Default"/>
        <w:rPr>
          <w:rFonts w:eastAsia="Calibri"/>
          <w:b/>
          <w:color w:val="auto"/>
          <w:sz w:val="22"/>
          <w:szCs w:val="22"/>
          <w:u w:val="single"/>
          <w:bdr w:val="nil"/>
        </w:rPr>
      </w:pPr>
      <w:hyperlink r:id="rId21" w:history="1">
        <w:r w:rsidR="00DE09E8" w:rsidRPr="00F40532">
          <w:rPr>
            <w:rStyle w:val="Hyperlink"/>
            <w:rFonts w:eastAsiaTheme="majorEastAsia" w:cstheme="majorBidi"/>
            <w:b/>
            <w:sz w:val="22"/>
            <w:szCs w:val="22"/>
          </w:rPr>
          <w:t>H.R. 8</w:t>
        </w:r>
      </w:hyperlink>
      <w:r w:rsidR="00DE09E8" w:rsidRPr="00DE09E8">
        <w:rPr>
          <w:rFonts w:eastAsiaTheme="majorEastAsia" w:cstheme="majorBidi"/>
          <w:b/>
          <w:sz w:val="22"/>
          <w:szCs w:val="22"/>
        </w:rPr>
        <w:t xml:space="preserve">, </w:t>
      </w:r>
      <w:r w:rsidR="00DE09E8" w:rsidRPr="00DE09E8">
        <w:rPr>
          <w:rFonts w:eastAsiaTheme="majorEastAsia" w:cstheme="majorBidi"/>
          <w:b/>
          <w:i/>
          <w:iCs/>
          <w:sz w:val="22"/>
          <w:szCs w:val="22"/>
        </w:rPr>
        <w:t>the Bipartisan Background Checks Act</w:t>
      </w:r>
      <w:r w:rsidR="00DE09E8" w:rsidRPr="00DE09E8">
        <w:rPr>
          <w:rFonts w:eastAsiaTheme="majorEastAsia" w:cstheme="majorBidi"/>
          <w:b/>
          <w:sz w:val="22"/>
          <w:szCs w:val="22"/>
        </w:rPr>
        <w:t xml:space="preserve"> </w:t>
      </w:r>
      <w:r w:rsidR="00DE09E8" w:rsidRPr="00DE09E8">
        <w:rPr>
          <w:rFonts w:eastAsiaTheme="majorEastAsia" w:cstheme="majorBidi"/>
          <w:bCs/>
          <w:sz w:val="22"/>
          <w:szCs w:val="22"/>
        </w:rPr>
        <w:t xml:space="preserve">that would establish new background check requirements for firearm transfers between private parties.  </w:t>
      </w:r>
    </w:p>
    <w:p w14:paraId="1C21E976" w14:textId="77777777" w:rsidR="00DE09E8" w:rsidRDefault="00DE09E8" w:rsidP="00DE09E8">
      <w:pPr>
        <w:spacing w:after="0" w:line="240" w:lineRule="auto"/>
      </w:pPr>
    </w:p>
    <w:p w14:paraId="2301F14B" w14:textId="0A306E7D" w:rsidR="00DE09E8" w:rsidRPr="00DE09E8" w:rsidRDefault="007E7085" w:rsidP="00DE09E8">
      <w:pPr>
        <w:spacing w:after="0" w:line="240" w:lineRule="auto"/>
        <w:rPr>
          <w:rFonts w:eastAsiaTheme="majorEastAsia" w:cstheme="majorBidi"/>
          <w:bCs/>
        </w:rPr>
      </w:pPr>
      <w:hyperlink r:id="rId22" w:history="1">
        <w:r w:rsidR="00DE09E8" w:rsidRPr="00F40532">
          <w:rPr>
            <w:rStyle w:val="Hyperlink"/>
            <w:rFonts w:eastAsiaTheme="majorEastAsia" w:cstheme="majorBidi"/>
            <w:b/>
          </w:rPr>
          <w:t>H.R. 3076</w:t>
        </w:r>
      </w:hyperlink>
      <w:r w:rsidR="00DE09E8" w:rsidRPr="00DE09E8">
        <w:rPr>
          <w:rFonts w:eastAsiaTheme="majorEastAsia" w:cstheme="majorBidi"/>
          <w:b/>
        </w:rPr>
        <w:t>/</w:t>
      </w:r>
      <w:hyperlink r:id="rId23" w:history="1">
        <w:r w:rsidR="00DE09E8" w:rsidRPr="00F40532">
          <w:rPr>
            <w:rStyle w:val="Hyperlink"/>
            <w:rFonts w:eastAsiaTheme="majorEastAsia" w:cstheme="majorBidi"/>
            <w:b/>
          </w:rPr>
          <w:t>S. 506</w:t>
        </w:r>
      </w:hyperlink>
      <w:r w:rsidR="00DE09E8" w:rsidRPr="00DE09E8">
        <w:rPr>
          <w:rFonts w:eastAsiaTheme="majorEastAsia" w:cstheme="majorBidi"/>
          <w:b/>
        </w:rPr>
        <w:t xml:space="preserve">, </w:t>
      </w:r>
      <w:r w:rsidR="00DE09E8" w:rsidRPr="00DE09E8">
        <w:rPr>
          <w:rFonts w:eastAsiaTheme="majorEastAsia" w:cstheme="majorBidi"/>
          <w:b/>
          <w:i/>
          <w:iCs/>
        </w:rPr>
        <w:t>the Extreme Risk Protection Order Act</w:t>
      </w:r>
      <w:r w:rsidR="00DE09E8" w:rsidRPr="00DE09E8">
        <w:rPr>
          <w:rFonts w:eastAsiaTheme="majorEastAsia" w:cstheme="majorBidi"/>
          <w:b/>
        </w:rPr>
        <w:t xml:space="preserve"> from the 116</w:t>
      </w:r>
      <w:r w:rsidR="00DE09E8" w:rsidRPr="00DE09E8">
        <w:rPr>
          <w:rFonts w:eastAsiaTheme="majorEastAsia" w:cstheme="majorBidi"/>
          <w:b/>
          <w:vertAlign w:val="superscript"/>
        </w:rPr>
        <w:t>th</w:t>
      </w:r>
      <w:r w:rsidR="00DE09E8" w:rsidRPr="00DE09E8">
        <w:rPr>
          <w:rFonts w:eastAsiaTheme="majorEastAsia" w:cstheme="majorBidi"/>
          <w:b/>
        </w:rPr>
        <w:t xml:space="preserve"> Congress</w:t>
      </w:r>
      <w:r w:rsidR="00DE09E8" w:rsidRPr="00DE09E8">
        <w:rPr>
          <w:rFonts w:eastAsiaTheme="majorEastAsia" w:cstheme="majorBidi"/>
          <w:bCs/>
        </w:rPr>
        <w:t xml:space="preserve">, to establish a grant program to help states and Indian tribes implement extreme risk protection order laws and expands categories of individuals who are prohibited from receiving, possessing, shipping, or transporting a firearm. </w:t>
      </w:r>
    </w:p>
    <w:p w14:paraId="0C0F3012" w14:textId="77777777" w:rsidR="00DE09E8" w:rsidRDefault="00DE09E8" w:rsidP="00DE09E8">
      <w:pPr>
        <w:spacing w:after="0"/>
      </w:pPr>
    </w:p>
    <w:p w14:paraId="07DC59D4" w14:textId="23EB02C6" w:rsidR="00DE09E8" w:rsidRDefault="007E7085" w:rsidP="00EC0A4B">
      <w:pPr>
        <w:spacing w:after="240"/>
        <w:rPr>
          <w:rFonts w:eastAsiaTheme="majorEastAsia" w:cstheme="majorBidi"/>
        </w:rPr>
      </w:pPr>
      <w:hyperlink r:id="rId24" w:history="1">
        <w:r w:rsidR="00DE09E8" w:rsidRPr="00E00936">
          <w:rPr>
            <w:rStyle w:val="Hyperlink"/>
            <w:rFonts w:eastAsiaTheme="majorEastAsia" w:cstheme="majorBidi"/>
            <w:b/>
          </w:rPr>
          <w:t xml:space="preserve">H.R. </w:t>
        </w:r>
        <w:r w:rsidR="00E00936" w:rsidRPr="00E00936">
          <w:rPr>
            <w:rStyle w:val="Hyperlink"/>
            <w:rFonts w:eastAsiaTheme="majorEastAsia" w:cstheme="majorBidi"/>
            <w:b/>
          </w:rPr>
          <w:t>3271</w:t>
        </w:r>
      </w:hyperlink>
      <w:r w:rsidR="00DE09E8">
        <w:rPr>
          <w:rFonts w:eastAsiaTheme="majorEastAsia" w:cstheme="majorBidi"/>
          <w:b/>
        </w:rPr>
        <w:t>/</w:t>
      </w:r>
      <w:hyperlink r:id="rId25" w:history="1">
        <w:r w:rsidR="00DE09E8" w:rsidRPr="00C3788E">
          <w:rPr>
            <w:rStyle w:val="Hyperlink"/>
            <w:rFonts w:eastAsiaTheme="majorEastAsia" w:cstheme="majorBidi"/>
            <w:b/>
          </w:rPr>
          <w:t>S.</w:t>
        </w:r>
        <w:r w:rsidR="00C3788E" w:rsidRPr="00C3788E">
          <w:rPr>
            <w:rStyle w:val="Hyperlink"/>
            <w:rFonts w:eastAsiaTheme="majorEastAsia" w:cstheme="majorBidi"/>
            <w:b/>
          </w:rPr>
          <w:t xml:space="preserve"> 1702</w:t>
        </w:r>
      </w:hyperlink>
      <w:r w:rsidR="00DE09E8">
        <w:rPr>
          <w:rFonts w:eastAsiaTheme="majorEastAsia" w:cstheme="majorBidi"/>
          <w:b/>
        </w:rPr>
        <w:t xml:space="preserve">, </w:t>
      </w:r>
      <w:r w:rsidR="00DE09E8" w:rsidRPr="00176EC2">
        <w:rPr>
          <w:rFonts w:eastAsiaTheme="majorEastAsia" w:cstheme="majorBidi"/>
          <w:b/>
          <w:bCs/>
          <w:i/>
          <w:iCs/>
        </w:rPr>
        <w:t xml:space="preserve">the </w:t>
      </w:r>
      <w:r w:rsidR="00DE09E8" w:rsidRPr="00DD4720">
        <w:rPr>
          <w:rFonts w:eastAsiaTheme="majorEastAsia" w:cstheme="majorBidi"/>
          <w:b/>
          <w:bCs/>
          <w:i/>
          <w:iCs/>
        </w:rPr>
        <w:t>Climate Change Health Protection and Promotion Act</w:t>
      </w:r>
      <w:r w:rsidR="00DE09E8" w:rsidRPr="00DD4720">
        <w:rPr>
          <w:rFonts w:eastAsiaTheme="majorEastAsia" w:cstheme="majorBidi"/>
          <w:b/>
          <w:bCs/>
        </w:rPr>
        <w:t xml:space="preserve"> </w:t>
      </w:r>
      <w:r w:rsidR="00DE09E8" w:rsidRPr="00DD4720">
        <w:rPr>
          <w:rFonts w:eastAsiaTheme="majorEastAsia" w:cstheme="majorBidi"/>
        </w:rPr>
        <w:t>that would take important steps, to mitigate the harmful impact of climate change on health.</w:t>
      </w:r>
    </w:p>
    <w:p w14:paraId="71AE6269" w14:textId="3DA51F1C" w:rsidR="00DE09E8" w:rsidRDefault="00DE09E8" w:rsidP="00DE09E8">
      <w:pPr>
        <w:pStyle w:val="Default"/>
        <w:rPr>
          <w:rFonts w:eastAsia="Calibri"/>
          <w:b/>
          <w:color w:val="auto"/>
          <w:sz w:val="22"/>
          <w:szCs w:val="22"/>
          <w:u w:val="single"/>
          <w:bdr w:val="nil"/>
        </w:rPr>
      </w:pPr>
      <w:r w:rsidRPr="00F201B4">
        <w:rPr>
          <w:rFonts w:eastAsia="Calibri"/>
          <w:b/>
          <w:color w:val="auto"/>
          <w:sz w:val="22"/>
          <w:szCs w:val="22"/>
          <w:u w:val="single"/>
          <w:bdr w:val="nil"/>
        </w:rPr>
        <w:t>PROMOTE HEALTH EQUITY, SOCIAL JUSTICE, AND ELIMINATE DISPARITIES</w:t>
      </w:r>
    </w:p>
    <w:p w14:paraId="02A751CA" w14:textId="67F952F9" w:rsidR="00DE09E8" w:rsidRDefault="00DE09E8" w:rsidP="00DE09E8">
      <w:pPr>
        <w:pStyle w:val="Default"/>
        <w:rPr>
          <w:rFonts w:eastAsia="Calibri"/>
          <w:b/>
          <w:color w:val="auto"/>
          <w:sz w:val="22"/>
          <w:szCs w:val="22"/>
          <w:u w:val="single"/>
          <w:bdr w:val="nil"/>
        </w:rPr>
      </w:pPr>
    </w:p>
    <w:p w14:paraId="62F11B2F" w14:textId="61AA8965" w:rsidR="00DE09E8" w:rsidRPr="00BF53E3" w:rsidRDefault="007E7085" w:rsidP="00DE09E8">
      <w:pPr>
        <w:pStyle w:val="Default"/>
        <w:rPr>
          <w:rFonts w:eastAsia="Calibri"/>
          <w:b/>
          <w:color w:val="auto"/>
          <w:sz w:val="22"/>
          <w:szCs w:val="22"/>
          <w:u w:val="single"/>
          <w:bdr w:val="nil"/>
        </w:rPr>
      </w:pPr>
      <w:hyperlink r:id="rId26" w:history="1">
        <w:r w:rsidR="00BF53E3" w:rsidRPr="00F40532">
          <w:rPr>
            <w:rStyle w:val="Hyperlink"/>
            <w:rFonts w:eastAsiaTheme="minorEastAsia"/>
            <w:b/>
            <w:bCs/>
            <w:sz w:val="22"/>
            <w:szCs w:val="22"/>
          </w:rPr>
          <w:t>H.R. 1280</w:t>
        </w:r>
      </w:hyperlink>
      <w:r w:rsidR="00BF53E3" w:rsidRPr="00BF53E3">
        <w:rPr>
          <w:rFonts w:eastAsiaTheme="minorEastAsia"/>
          <w:b/>
          <w:bCs/>
          <w:color w:val="000000" w:themeColor="text1"/>
          <w:sz w:val="22"/>
          <w:szCs w:val="22"/>
        </w:rPr>
        <w:t xml:space="preserve">, </w:t>
      </w:r>
      <w:r w:rsidR="00BF53E3" w:rsidRPr="00BF53E3">
        <w:rPr>
          <w:rFonts w:eastAsiaTheme="minorEastAsia"/>
          <w:b/>
          <w:bCs/>
          <w:i/>
          <w:iCs/>
          <w:color w:val="000000" w:themeColor="text1"/>
          <w:sz w:val="22"/>
          <w:szCs w:val="22"/>
        </w:rPr>
        <w:t>the</w:t>
      </w:r>
      <w:r w:rsidR="00BF53E3" w:rsidRPr="00BF53E3">
        <w:rPr>
          <w:rFonts w:eastAsiaTheme="minorEastAsia"/>
          <w:b/>
          <w:bCs/>
          <w:color w:val="000000" w:themeColor="text1"/>
          <w:sz w:val="22"/>
          <w:szCs w:val="22"/>
        </w:rPr>
        <w:t xml:space="preserve"> </w:t>
      </w:r>
      <w:r w:rsidR="00BF53E3" w:rsidRPr="00BF53E3">
        <w:rPr>
          <w:rFonts w:eastAsiaTheme="minorEastAsia"/>
          <w:b/>
          <w:bCs/>
          <w:i/>
          <w:iCs/>
          <w:color w:val="000000" w:themeColor="text1"/>
          <w:sz w:val="22"/>
          <w:szCs w:val="22"/>
        </w:rPr>
        <w:t>George Floyd Justice in Policing Act of 2021</w:t>
      </w:r>
      <w:r w:rsidR="00BF53E3" w:rsidRPr="00BF53E3">
        <w:rPr>
          <w:rFonts w:eastAsiaTheme="minorEastAsia"/>
          <w:color w:val="000000" w:themeColor="text1"/>
          <w:sz w:val="22"/>
          <w:szCs w:val="22"/>
        </w:rPr>
        <w:t xml:space="preserve">, </w:t>
      </w:r>
      <w:r w:rsidR="00BF53E3" w:rsidRPr="00BF53E3">
        <w:rPr>
          <w:rFonts w:eastAsiaTheme="minorEastAsia"/>
          <w:sz w:val="22"/>
          <w:szCs w:val="22"/>
        </w:rPr>
        <w:t>to overhaul qualified immunity for law enforcement, prohibit racial profiling on the part of law enforcement and ban no-knock warrants in federal drug cases and chokeholds and carotid holds at the federal level.</w:t>
      </w:r>
    </w:p>
    <w:p w14:paraId="3E479E19" w14:textId="1996FE4B" w:rsidR="00DE09E8" w:rsidRDefault="00DE09E8" w:rsidP="00DE09E8">
      <w:pPr>
        <w:pStyle w:val="Default"/>
        <w:rPr>
          <w:rFonts w:eastAsia="Calibri"/>
          <w:b/>
          <w:color w:val="auto"/>
          <w:sz w:val="22"/>
          <w:szCs w:val="22"/>
          <w:u w:val="single"/>
          <w:bdr w:val="nil"/>
        </w:rPr>
      </w:pPr>
    </w:p>
    <w:p w14:paraId="08C03C23" w14:textId="41502E2D" w:rsidR="00BF53E3" w:rsidRPr="00BF53E3" w:rsidRDefault="007E7085" w:rsidP="00BF53E3">
      <w:pPr>
        <w:spacing w:after="240" w:line="240" w:lineRule="auto"/>
        <w:rPr>
          <w:rFonts w:eastAsiaTheme="minorEastAsia"/>
          <w:color w:val="000000" w:themeColor="text1"/>
        </w:rPr>
      </w:pPr>
      <w:hyperlink r:id="rId27" w:history="1">
        <w:r w:rsidR="00BF53E3" w:rsidRPr="00F40532">
          <w:rPr>
            <w:rStyle w:val="Hyperlink"/>
            <w:rFonts w:eastAsiaTheme="minorEastAsia"/>
            <w:b/>
            <w:bCs/>
          </w:rPr>
          <w:t>H.R. 5</w:t>
        </w:r>
      </w:hyperlink>
      <w:r w:rsidR="00BF53E3" w:rsidRPr="00BF53E3">
        <w:rPr>
          <w:rFonts w:eastAsiaTheme="minorEastAsia"/>
          <w:b/>
          <w:bCs/>
        </w:rPr>
        <w:t xml:space="preserve">, </w:t>
      </w:r>
      <w:r w:rsidR="00BF53E3" w:rsidRPr="00BF53E3">
        <w:rPr>
          <w:rFonts w:eastAsiaTheme="minorEastAsia"/>
          <w:b/>
          <w:bCs/>
          <w:i/>
          <w:iCs/>
          <w:color w:val="000000" w:themeColor="text1"/>
        </w:rPr>
        <w:t>the Equality Act</w:t>
      </w:r>
      <w:r w:rsidR="00BF53E3" w:rsidRPr="00BF53E3">
        <w:rPr>
          <w:rFonts w:eastAsiaTheme="minorEastAsia"/>
          <w:color w:val="000000" w:themeColor="text1"/>
        </w:rPr>
        <w:t xml:space="preserve">, to prohibit discrimination based on sex, sexual orientation and gender identity in public accommodations and facilities, education, federal housing credit and the jury system. </w:t>
      </w:r>
    </w:p>
    <w:p w14:paraId="7C4B797F" w14:textId="20ED7467" w:rsidR="00BF53E3" w:rsidRDefault="007E7085" w:rsidP="00BF53E3">
      <w:pPr>
        <w:spacing w:after="240" w:line="240" w:lineRule="auto"/>
        <w:rPr>
          <w:rFonts w:eastAsiaTheme="minorEastAsia"/>
          <w:color w:val="000000" w:themeColor="text1"/>
        </w:rPr>
      </w:pPr>
      <w:hyperlink r:id="rId28" w:history="1">
        <w:r w:rsidR="00BF53E3" w:rsidRPr="008C4D95">
          <w:rPr>
            <w:rStyle w:val="Hyperlink"/>
            <w:rFonts w:eastAsiaTheme="minorEastAsia"/>
            <w:b/>
            <w:bCs/>
          </w:rPr>
          <w:t>S. 937</w:t>
        </w:r>
      </w:hyperlink>
      <w:r w:rsidR="00BF53E3" w:rsidRPr="00BF53E3">
        <w:rPr>
          <w:rFonts w:eastAsiaTheme="minorEastAsia"/>
          <w:b/>
          <w:bCs/>
          <w:color w:val="000000" w:themeColor="text1"/>
        </w:rPr>
        <w:t>/</w:t>
      </w:r>
      <w:hyperlink r:id="rId29" w:history="1">
        <w:r w:rsidR="00BF53E3" w:rsidRPr="008C4D95">
          <w:rPr>
            <w:rStyle w:val="Hyperlink"/>
            <w:rFonts w:eastAsiaTheme="minorEastAsia"/>
            <w:b/>
            <w:bCs/>
          </w:rPr>
          <w:t>H.R. 1843</w:t>
        </w:r>
      </w:hyperlink>
      <w:r w:rsidR="00BF53E3" w:rsidRPr="00BF53E3">
        <w:rPr>
          <w:rFonts w:eastAsiaTheme="minorEastAsia"/>
          <w:b/>
          <w:bCs/>
          <w:color w:val="000000" w:themeColor="text1"/>
        </w:rPr>
        <w:t>,</w:t>
      </w:r>
      <w:r w:rsidR="00BF53E3" w:rsidRPr="00BF53E3">
        <w:rPr>
          <w:rFonts w:eastAsiaTheme="minorEastAsia"/>
          <w:b/>
          <w:bCs/>
          <w:i/>
          <w:iCs/>
          <w:color w:val="000000" w:themeColor="text1"/>
        </w:rPr>
        <w:t xml:space="preserve"> the Hate Crimes Act,</w:t>
      </w:r>
      <w:r w:rsidR="00BF53E3" w:rsidRPr="00BF53E3">
        <w:rPr>
          <w:rFonts w:eastAsiaTheme="minorEastAsia"/>
          <w:b/>
          <w:bCs/>
          <w:color w:val="000000" w:themeColor="text1"/>
        </w:rPr>
        <w:t xml:space="preserve"> </w:t>
      </w:r>
      <w:r w:rsidR="00BF53E3" w:rsidRPr="00BF53E3">
        <w:rPr>
          <w:rFonts w:eastAsiaTheme="minorEastAsia"/>
          <w:color w:val="000000" w:themeColor="text1"/>
        </w:rPr>
        <w:t>to</w:t>
      </w:r>
      <w:r w:rsidR="00BF53E3" w:rsidRPr="00BF53E3">
        <w:rPr>
          <w:rFonts w:eastAsiaTheme="minorEastAsia"/>
          <w:b/>
          <w:bCs/>
          <w:color w:val="000000" w:themeColor="text1"/>
        </w:rPr>
        <w:t xml:space="preserve"> </w:t>
      </w:r>
      <w:r w:rsidR="00BF53E3" w:rsidRPr="00BF53E3">
        <w:rPr>
          <w:rFonts w:eastAsiaTheme="minorEastAsia"/>
          <w:color w:val="000000" w:themeColor="text1"/>
        </w:rPr>
        <w:t xml:space="preserve">denounce discrimination against Asian Americans and create a new position at Justice to expedite reviews of potential COVID-19-related hate crimes. </w:t>
      </w:r>
      <w:r w:rsidR="0047780D">
        <w:rPr>
          <w:rFonts w:eastAsiaTheme="minorEastAsia"/>
          <w:color w:val="000000" w:themeColor="text1"/>
        </w:rPr>
        <w:t xml:space="preserve">This bill was passed by both chambers. </w:t>
      </w:r>
    </w:p>
    <w:p w14:paraId="727E13F6" w14:textId="0B57612E" w:rsidR="0098471E" w:rsidRPr="0098471E" w:rsidRDefault="007E7085" w:rsidP="0098471E">
      <w:pPr>
        <w:spacing w:line="240" w:lineRule="auto"/>
        <w:rPr>
          <w:rFonts w:eastAsiaTheme="minorEastAsia"/>
          <w:color w:val="000000" w:themeColor="text1"/>
        </w:rPr>
      </w:pPr>
      <w:hyperlink r:id="rId30" w:history="1">
        <w:r w:rsidR="0098471E" w:rsidRPr="000D6DF2">
          <w:rPr>
            <w:rStyle w:val="Hyperlink"/>
            <w:rFonts w:eastAsiaTheme="minorEastAsia"/>
            <w:b/>
            <w:bCs/>
          </w:rPr>
          <w:t>H.R. 666</w:t>
        </w:r>
      </w:hyperlink>
      <w:r w:rsidR="0098471E" w:rsidRPr="0098471E">
        <w:rPr>
          <w:rFonts w:eastAsiaTheme="minorEastAsia"/>
          <w:b/>
          <w:bCs/>
        </w:rPr>
        <w:t>/</w:t>
      </w:r>
      <w:hyperlink r:id="rId31" w:history="1">
        <w:r w:rsidR="0098471E" w:rsidRPr="000D6DF2">
          <w:rPr>
            <w:rStyle w:val="Hyperlink"/>
            <w:rFonts w:eastAsiaTheme="minorEastAsia"/>
            <w:b/>
            <w:bCs/>
          </w:rPr>
          <w:t>S. 162</w:t>
        </w:r>
      </w:hyperlink>
      <w:r w:rsidR="0098471E" w:rsidRPr="0098471E">
        <w:rPr>
          <w:rFonts w:eastAsiaTheme="minorEastAsia"/>
          <w:b/>
          <w:bCs/>
        </w:rPr>
        <w:t xml:space="preserve">, </w:t>
      </w:r>
      <w:r w:rsidR="0098471E" w:rsidRPr="0098471E">
        <w:rPr>
          <w:rFonts w:eastAsiaTheme="minorEastAsia"/>
          <w:b/>
          <w:bCs/>
          <w:i/>
          <w:iCs/>
        </w:rPr>
        <w:t>the Anti-Racism in Public Health Act of 2021</w:t>
      </w:r>
      <w:r w:rsidR="0098471E" w:rsidRPr="0098471E">
        <w:rPr>
          <w:rFonts w:eastAsiaTheme="minorEastAsia"/>
          <w:b/>
          <w:bCs/>
        </w:rPr>
        <w:t>,</w:t>
      </w:r>
      <w:r w:rsidR="0098471E" w:rsidRPr="0098471E">
        <w:rPr>
          <w:rFonts w:eastAsiaTheme="minorEastAsia"/>
        </w:rPr>
        <w:t xml:space="preserve"> to</w:t>
      </w:r>
      <w:r w:rsidR="0098471E" w:rsidRPr="0098471E">
        <w:rPr>
          <w:rFonts w:eastAsiaTheme="minorEastAsia"/>
          <w:b/>
          <w:bCs/>
        </w:rPr>
        <w:t xml:space="preserve"> </w:t>
      </w:r>
      <w:r w:rsidR="0098471E" w:rsidRPr="0098471E">
        <w:rPr>
          <w:rFonts w:eastAsiaTheme="minorEastAsia"/>
        </w:rPr>
        <w:t>establish within the CDC a National Center on Anti-racism and Health for data collection and research and a law enforcement violence prevention program.</w:t>
      </w:r>
    </w:p>
    <w:p w14:paraId="32814528" w14:textId="2DBF2F28" w:rsidR="00BF53E3" w:rsidRPr="00BF53E3" w:rsidRDefault="007E7085" w:rsidP="00BF53E3">
      <w:pPr>
        <w:spacing w:after="240" w:line="240" w:lineRule="auto"/>
        <w:rPr>
          <w:rFonts w:eastAsiaTheme="minorEastAsia"/>
          <w:color w:val="000000" w:themeColor="text1"/>
        </w:rPr>
      </w:pPr>
      <w:hyperlink r:id="rId32" w:history="1">
        <w:r w:rsidR="00BF53E3" w:rsidRPr="008C4D95">
          <w:rPr>
            <w:rStyle w:val="Hyperlink"/>
            <w:rFonts w:eastAsiaTheme="minorEastAsia"/>
            <w:b/>
            <w:bCs/>
          </w:rPr>
          <w:t>H.R. 959</w:t>
        </w:r>
      </w:hyperlink>
      <w:r w:rsidR="00BF53E3" w:rsidRPr="00BF53E3">
        <w:rPr>
          <w:rFonts w:eastAsiaTheme="minorEastAsia"/>
          <w:b/>
          <w:bCs/>
          <w:color w:val="000000" w:themeColor="text1"/>
        </w:rPr>
        <w:t>/</w:t>
      </w:r>
      <w:hyperlink r:id="rId33" w:history="1">
        <w:r w:rsidR="00BF53E3" w:rsidRPr="008C4D95">
          <w:rPr>
            <w:rStyle w:val="Hyperlink"/>
            <w:rFonts w:eastAsiaTheme="minorEastAsia"/>
            <w:b/>
            <w:bCs/>
          </w:rPr>
          <w:t>S. 346</w:t>
        </w:r>
      </w:hyperlink>
      <w:r w:rsidR="00BF53E3" w:rsidRPr="00BF53E3">
        <w:rPr>
          <w:rFonts w:eastAsiaTheme="minorEastAsia"/>
          <w:b/>
          <w:bCs/>
          <w:color w:val="000000" w:themeColor="text1"/>
        </w:rPr>
        <w:t xml:space="preserve">, </w:t>
      </w:r>
      <w:r w:rsidR="00BF53E3" w:rsidRPr="00BF53E3">
        <w:rPr>
          <w:rFonts w:eastAsiaTheme="minorEastAsia"/>
          <w:b/>
          <w:bCs/>
          <w:i/>
          <w:iCs/>
          <w:color w:val="000000" w:themeColor="text1"/>
        </w:rPr>
        <w:t xml:space="preserve">the Black Maternal Health </w:t>
      </w:r>
      <w:proofErr w:type="spellStart"/>
      <w:r w:rsidR="00BF53E3" w:rsidRPr="00BF53E3">
        <w:rPr>
          <w:rFonts w:eastAsiaTheme="minorEastAsia"/>
          <w:b/>
          <w:bCs/>
          <w:i/>
          <w:iCs/>
          <w:color w:val="000000" w:themeColor="text1"/>
        </w:rPr>
        <w:t>Momnibus</w:t>
      </w:r>
      <w:proofErr w:type="spellEnd"/>
      <w:r w:rsidR="00BF53E3" w:rsidRPr="00BF53E3">
        <w:rPr>
          <w:rFonts w:eastAsiaTheme="minorEastAsia"/>
          <w:b/>
          <w:bCs/>
          <w:i/>
          <w:iCs/>
          <w:color w:val="000000" w:themeColor="text1"/>
        </w:rPr>
        <w:t xml:space="preserve"> Act of 2021</w:t>
      </w:r>
      <w:r w:rsidR="00BF53E3" w:rsidRPr="00BF53E3">
        <w:rPr>
          <w:rFonts w:eastAsiaTheme="minorEastAsia"/>
          <w:color w:val="000000" w:themeColor="text1"/>
        </w:rPr>
        <w:t xml:space="preserve">, </w:t>
      </w:r>
      <w:r w:rsidR="00BF53E3">
        <w:rPr>
          <w:rFonts w:eastAsiaTheme="minorEastAsia"/>
          <w:color w:val="000000" w:themeColor="text1"/>
        </w:rPr>
        <w:t>to</w:t>
      </w:r>
      <w:r w:rsidR="00BF53E3" w:rsidRPr="00BF53E3">
        <w:rPr>
          <w:rFonts w:eastAsiaTheme="minorEastAsia"/>
          <w:color w:val="000000" w:themeColor="text1"/>
        </w:rPr>
        <w:t xml:space="preserve"> reduce preventable maternal mortality and severe maternal morbidity in the U.S. and close disparities in maternal health outcomes, particularly among pregnant minority women.</w:t>
      </w:r>
    </w:p>
    <w:p w14:paraId="6C64E570" w14:textId="5E174453" w:rsidR="00DE09E8" w:rsidRPr="00F201B4" w:rsidRDefault="00DE09E8" w:rsidP="00DE09E8">
      <w:pPr>
        <w:pStyle w:val="Default"/>
        <w:rPr>
          <w:rFonts w:eastAsia="Calibri"/>
          <w:b/>
          <w:color w:val="auto"/>
          <w:sz w:val="22"/>
          <w:szCs w:val="22"/>
          <w:u w:val="single"/>
          <w:bdr w:val="nil"/>
        </w:rPr>
      </w:pPr>
      <w:r w:rsidRPr="00F201B4">
        <w:rPr>
          <w:rFonts w:eastAsia="Calibri"/>
          <w:b/>
          <w:color w:val="auto"/>
          <w:sz w:val="22"/>
          <w:szCs w:val="22"/>
          <w:u w:val="single"/>
          <w:bdr w:val="nil"/>
        </w:rPr>
        <w:t>EXPAND ACCESS TO TELEHEALTH SERVICES AND PROMOTE PATIENT SAFETY/PRIVACY</w:t>
      </w:r>
    </w:p>
    <w:p w14:paraId="4B659456" w14:textId="77777777" w:rsidR="00BF53E3" w:rsidRDefault="00BF53E3" w:rsidP="00BF53E3">
      <w:pPr>
        <w:spacing w:after="0" w:line="240" w:lineRule="auto"/>
      </w:pPr>
    </w:p>
    <w:p w14:paraId="094004FC" w14:textId="50722FEF" w:rsidR="00BF53E3" w:rsidRPr="00BF53E3" w:rsidRDefault="007E7085" w:rsidP="00BF53E3">
      <w:pPr>
        <w:spacing w:after="0" w:line="240" w:lineRule="auto"/>
        <w:rPr>
          <w:rFonts w:eastAsiaTheme="majorEastAsia" w:cstheme="majorBidi"/>
        </w:rPr>
      </w:pPr>
      <w:hyperlink r:id="rId34" w:history="1">
        <w:r w:rsidR="00BF53E3" w:rsidRPr="008C4D95">
          <w:rPr>
            <w:rStyle w:val="Hyperlink"/>
            <w:rFonts w:eastAsiaTheme="majorEastAsia" w:cstheme="majorBidi"/>
            <w:b/>
            <w:bCs/>
          </w:rPr>
          <w:t>H.R. 2903</w:t>
        </w:r>
      </w:hyperlink>
      <w:r w:rsidR="00BF53E3" w:rsidRPr="00BF53E3">
        <w:rPr>
          <w:rFonts w:eastAsiaTheme="majorEastAsia" w:cstheme="majorBidi"/>
          <w:b/>
          <w:bCs/>
        </w:rPr>
        <w:t>/</w:t>
      </w:r>
      <w:hyperlink r:id="rId35" w:history="1">
        <w:r w:rsidR="00BF53E3" w:rsidRPr="008C4D95">
          <w:rPr>
            <w:rStyle w:val="Hyperlink"/>
            <w:rFonts w:eastAsiaTheme="majorEastAsia" w:cstheme="majorBidi"/>
            <w:b/>
            <w:bCs/>
          </w:rPr>
          <w:t>S. 1512</w:t>
        </w:r>
      </w:hyperlink>
      <w:r w:rsidR="00BF53E3" w:rsidRPr="00BF53E3">
        <w:rPr>
          <w:rFonts w:eastAsiaTheme="majorEastAsia" w:cstheme="majorBidi"/>
          <w:b/>
          <w:bCs/>
        </w:rPr>
        <w:t xml:space="preserve">, </w:t>
      </w:r>
      <w:r w:rsidR="00BF53E3" w:rsidRPr="00BF53E3">
        <w:rPr>
          <w:rFonts w:eastAsia="Calibri" w:cstheme="minorHAnsi"/>
          <w:b/>
          <w:bCs/>
          <w:i/>
          <w:iCs/>
        </w:rPr>
        <w:t>the CONNECT for Health Act</w:t>
      </w:r>
      <w:r w:rsidR="00BF53E3" w:rsidRPr="00BF53E3">
        <w:rPr>
          <w:rFonts w:eastAsia="Calibri" w:cstheme="minorHAnsi"/>
          <w:b/>
          <w:bCs/>
        </w:rPr>
        <w:t xml:space="preserve">, </w:t>
      </w:r>
      <w:r w:rsidR="00BF53E3" w:rsidRPr="00BF53E3">
        <w:rPr>
          <w:rFonts w:eastAsia="Calibri" w:cstheme="minorHAnsi"/>
        </w:rPr>
        <w:t>to would remove arbitrary barriers to telehealth services such as geographic and site of service restrictions.</w:t>
      </w:r>
      <w:r w:rsidR="00BF53E3" w:rsidRPr="00BF53E3">
        <w:rPr>
          <w:rFonts w:eastAsia="Calibri" w:cstheme="minorHAnsi"/>
          <w:b/>
          <w:bCs/>
        </w:rPr>
        <w:t xml:space="preserve"> </w:t>
      </w:r>
    </w:p>
    <w:p w14:paraId="201F88D2" w14:textId="77777777" w:rsidR="00BF53E3" w:rsidRDefault="00BF53E3" w:rsidP="00BF53E3">
      <w:pPr>
        <w:spacing w:after="0" w:line="240" w:lineRule="auto"/>
      </w:pPr>
    </w:p>
    <w:p w14:paraId="2BBD7863" w14:textId="33A4716B" w:rsidR="00BF53E3" w:rsidRPr="00BF53E3" w:rsidRDefault="007E7085" w:rsidP="00BF53E3">
      <w:pPr>
        <w:spacing w:after="0" w:line="240" w:lineRule="auto"/>
        <w:rPr>
          <w:rFonts w:eastAsiaTheme="majorEastAsia" w:cstheme="majorBidi"/>
          <w:b/>
          <w:bCs/>
        </w:rPr>
      </w:pPr>
      <w:hyperlink r:id="rId36" w:history="1">
        <w:r w:rsidR="00BF53E3" w:rsidRPr="008C4D95">
          <w:rPr>
            <w:rStyle w:val="Hyperlink"/>
            <w:rFonts w:cstheme="minorHAnsi"/>
            <w:b/>
            <w:bCs/>
          </w:rPr>
          <w:t>H.R. 708</w:t>
        </w:r>
      </w:hyperlink>
      <w:r w:rsidR="00BF53E3">
        <w:rPr>
          <w:rFonts w:cstheme="minorHAnsi"/>
          <w:b/>
          <w:bCs/>
        </w:rPr>
        <w:t>/</w:t>
      </w:r>
      <w:hyperlink r:id="rId37" w:history="1">
        <w:r w:rsidR="00BF53E3" w:rsidRPr="008C4D95">
          <w:rPr>
            <w:rStyle w:val="Hyperlink"/>
            <w:rFonts w:cstheme="minorHAnsi"/>
            <w:b/>
            <w:bCs/>
          </w:rPr>
          <w:t>S. 168</w:t>
        </w:r>
      </w:hyperlink>
      <w:r w:rsidR="00BF53E3" w:rsidRPr="00BF53E3">
        <w:rPr>
          <w:rFonts w:cstheme="minorHAnsi"/>
          <w:b/>
          <w:bCs/>
        </w:rPr>
        <w:t xml:space="preserve">, </w:t>
      </w:r>
      <w:r w:rsidR="00BF53E3" w:rsidRPr="00BF53E3">
        <w:rPr>
          <w:rFonts w:cstheme="minorHAnsi"/>
          <w:b/>
          <w:bCs/>
          <w:i/>
          <w:iCs/>
        </w:rPr>
        <w:t xml:space="preserve">the </w:t>
      </w:r>
      <w:r w:rsidR="00BF53E3" w:rsidRPr="00BF53E3">
        <w:rPr>
          <w:rFonts w:cstheme="minorHAnsi"/>
          <w:b/>
          <w:bCs/>
          <w:i/>
          <w:iCs/>
          <w:shd w:val="clear" w:color="auto" w:fill="FFFFFF"/>
        </w:rPr>
        <w:t>Temporary Reciprocity to Ensure Access to </w:t>
      </w:r>
      <w:r w:rsidR="00BF53E3" w:rsidRPr="00BF53E3">
        <w:rPr>
          <w:rFonts w:cstheme="minorHAnsi"/>
          <w:b/>
          <w:bCs/>
          <w:i/>
          <w:iCs/>
        </w:rPr>
        <w:t>Treat</w:t>
      </w:r>
      <w:r w:rsidR="00BF53E3" w:rsidRPr="00BF53E3">
        <w:rPr>
          <w:rFonts w:cstheme="minorHAnsi"/>
          <w:b/>
          <w:bCs/>
          <w:i/>
          <w:iCs/>
          <w:shd w:val="clear" w:color="auto" w:fill="FFFFFF"/>
        </w:rPr>
        <w:t>ment </w:t>
      </w:r>
      <w:r w:rsidR="00BF53E3" w:rsidRPr="00BF53E3">
        <w:rPr>
          <w:rFonts w:cstheme="minorHAnsi"/>
          <w:b/>
          <w:bCs/>
          <w:i/>
          <w:iCs/>
        </w:rPr>
        <w:t>Act</w:t>
      </w:r>
      <w:r w:rsidR="00BF53E3" w:rsidRPr="00BF53E3">
        <w:rPr>
          <w:rFonts w:cstheme="minorHAnsi"/>
          <w:b/>
          <w:bCs/>
          <w:i/>
          <w:iCs/>
          <w:shd w:val="clear" w:color="auto" w:fill="FFFFFF"/>
        </w:rPr>
        <w:t xml:space="preserve"> or the “</w:t>
      </w:r>
      <w:r w:rsidR="00BF53E3" w:rsidRPr="00BF53E3">
        <w:rPr>
          <w:rFonts w:cstheme="minorHAnsi"/>
          <w:b/>
          <w:bCs/>
          <w:i/>
          <w:iCs/>
        </w:rPr>
        <w:t>TREAT</w:t>
      </w:r>
      <w:r w:rsidR="00BF53E3" w:rsidRPr="00BF53E3">
        <w:rPr>
          <w:rFonts w:cstheme="minorHAnsi"/>
          <w:b/>
          <w:bCs/>
          <w:i/>
          <w:iCs/>
          <w:shd w:val="clear" w:color="auto" w:fill="FFFFFF"/>
        </w:rPr>
        <w:t> </w:t>
      </w:r>
      <w:r w:rsidR="00BF53E3" w:rsidRPr="00BF53E3">
        <w:rPr>
          <w:rFonts w:cstheme="minorHAnsi"/>
          <w:b/>
          <w:bCs/>
          <w:i/>
          <w:iCs/>
        </w:rPr>
        <w:t>Act”</w:t>
      </w:r>
      <w:r w:rsidR="00BF53E3" w:rsidRPr="00BF53E3">
        <w:rPr>
          <w:rFonts w:cstheme="minorHAnsi"/>
          <w:b/>
          <w:bCs/>
        </w:rPr>
        <w:t xml:space="preserve">, </w:t>
      </w:r>
      <w:r w:rsidR="00BF53E3" w:rsidRPr="00BF53E3">
        <w:rPr>
          <w:rFonts w:cstheme="minorHAnsi"/>
        </w:rPr>
        <w:t xml:space="preserve">to ensure that telehealth services can be provided across states lines after the public health emergency ends. </w:t>
      </w:r>
    </w:p>
    <w:p w14:paraId="61911EE7" w14:textId="77777777" w:rsidR="00BF53E3" w:rsidRDefault="00BF53E3" w:rsidP="00EC0A4B">
      <w:pPr>
        <w:spacing w:after="240"/>
      </w:pPr>
    </w:p>
    <w:p w14:paraId="74DD9A8F" w14:textId="77777777" w:rsidR="00BF53E3" w:rsidRDefault="00BF53E3" w:rsidP="00EC0A4B">
      <w:pPr>
        <w:spacing w:after="240"/>
      </w:pPr>
    </w:p>
    <w:sectPr w:rsidR="00BF53E3" w:rsidSect="00EC0A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332AF"/>
    <w:multiLevelType w:val="hybridMultilevel"/>
    <w:tmpl w:val="81F867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0569"/>
    <w:multiLevelType w:val="hybridMultilevel"/>
    <w:tmpl w:val="71D681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63B38"/>
    <w:multiLevelType w:val="hybridMultilevel"/>
    <w:tmpl w:val="490CA8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45591"/>
    <w:multiLevelType w:val="hybridMultilevel"/>
    <w:tmpl w:val="A306A6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4B"/>
    <w:rsid w:val="000D6DF2"/>
    <w:rsid w:val="001006CA"/>
    <w:rsid w:val="00103FA6"/>
    <w:rsid w:val="0032385B"/>
    <w:rsid w:val="0040149C"/>
    <w:rsid w:val="0047780D"/>
    <w:rsid w:val="008C4D95"/>
    <w:rsid w:val="0098471E"/>
    <w:rsid w:val="00BF53E3"/>
    <w:rsid w:val="00C3788E"/>
    <w:rsid w:val="00DE09E8"/>
    <w:rsid w:val="00E00936"/>
    <w:rsid w:val="00EC0A4B"/>
    <w:rsid w:val="00F3321A"/>
    <w:rsid w:val="00F4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B885"/>
  <w15:chartTrackingRefBased/>
  <w15:docId w15:val="{EF6B108A-423D-420E-A730-C06026CB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0A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09E8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0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9E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9E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F53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5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3FA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gress.gov/bill/117th-congress/house-bill/1667/cosponsors?q=%7b%22search%22:%5b%22hr1667%22%5d%7d&amp;r=1&amp;s=10&amp;searchResultViewType=expanded" TargetMode="External"/><Relationship Id="rId18" Type="http://schemas.openxmlformats.org/officeDocument/2006/relationships/hyperlink" Target="https://www.congress.gov/bill/117th-congress/senate-bill/141/cosponsors?q=%7b%22search%22:%5b%22s141%22%5d%7d&amp;r=1&amp;s=4&amp;searchResultViewType=expanded" TargetMode="External"/><Relationship Id="rId26" Type="http://schemas.openxmlformats.org/officeDocument/2006/relationships/hyperlink" Target="https://www.congress.gov/bill/117th-congress/house-bill/1280/cosponsors?q=%7b%22search%22:%5b%22hr1280%22%5d%7d&amp;r=1&amp;s=3&amp;searchResultViewType=expanded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congress.gov/bill/117th-congress/house-bill/8/cosponsors?q=%7b%22search%22:%5b%22hr8%22%5d%7d&amp;r=1&amp;s=7&amp;searchResultViewType=expanded" TargetMode="External"/><Relationship Id="rId34" Type="http://schemas.openxmlformats.org/officeDocument/2006/relationships/hyperlink" Target="https://www.congress.gov/bill/117th-congress/house-bill/2903/cosponsors?q=%7b%22search%22:%5b%22hr2903%22%5d%7d&amp;r=1&amp;s=9&amp;searchResultViewType=expanded" TargetMode="External"/><Relationship Id="rId7" Type="http://schemas.openxmlformats.org/officeDocument/2006/relationships/hyperlink" Target="https://www.congress.gov/bill/117th-congress/house-bill/2256/cosponsors?q=%7b%22search%22:%5b%22hr2256%22%5d%7d&amp;r=1&amp;s=3&amp;searchResultViewType=expanded" TargetMode="External"/><Relationship Id="rId12" Type="http://schemas.openxmlformats.org/officeDocument/2006/relationships/hyperlink" Target="https://www.congress.gov/bill/117th-congress/house-bill/2418/cosponsors?q=%7b%22search%22:%5b%22hr2418%22%5d%7d&amp;r=1&amp;s=9&amp;searchResultViewType=expanded" TargetMode="External"/><Relationship Id="rId17" Type="http://schemas.openxmlformats.org/officeDocument/2006/relationships/hyperlink" Target="https://www.congress.gov/bill/117th-congress/senate-bill/833/cosponsors?q=%7b%22search%22:%5b%22s833%22%5d%7d&amp;r=1&amp;s=3&amp;searchResultViewType=expanded" TargetMode="External"/><Relationship Id="rId25" Type="http://schemas.openxmlformats.org/officeDocument/2006/relationships/hyperlink" Target="https://www.congress.gov/bill/117th-congress/senate-bill/1702/cosponsors?q=%7b%22search%22:%5b%22S.+1702%22%5d%7d&amp;r=1&amp;s=2&amp;searchResultViewType=expanded" TargetMode="External"/><Relationship Id="rId33" Type="http://schemas.openxmlformats.org/officeDocument/2006/relationships/hyperlink" Target="https://www.congress.gov/bill/117th-congress/senate-bill/346/cosponsors?q=%7b%22search%22:%5b%22s346%22%5d%7d&amp;r=1&amp;s=8&amp;searchResultViewType=expanded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gress.gov/bill/117th-congress/senate-bill/898/cosponsors?q=%7b%22search%22:%5b%22s898%22%5d%7d&amp;r=1&amp;s=2&amp;searchResultViewType=expanded" TargetMode="External"/><Relationship Id="rId20" Type="http://schemas.openxmlformats.org/officeDocument/2006/relationships/hyperlink" Target="https://www.congress.gov/bill/117th-congress/house-bill/2163/cosponsors?q=%7b%22search%22:%5b%22hr2163%22%5d%7d&amp;r=1&amp;s=6&amp;searchResultViewType=expanded" TargetMode="External"/><Relationship Id="rId29" Type="http://schemas.openxmlformats.org/officeDocument/2006/relationships/hyperlink" Target="https://www.congress.gov/bill/117th-congress/house-bill/1843/cosponsors?q=%7b%22search%22:%5b%22hr1843%22%5d%7d&amp;r=1&amp;s=6&amp;searchResultViewType=expand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gress.gov/bill/117th-congress/house-bill/369/cosponsors?q=%7b%22search%22:%5b%22hr369%22%5d%7d&amp;r=1&amp;s=2&amp;searchResultViewType=expanded" TargetMode="External"/><Relationship Id="rId11" Type="http://schemas.openxmlformats.org/officeDocument/2006/relationships/hyperlink" Target="https://www.congress.gov/bill/116th-congress/senate-bill/3599?q=%7B%22search%22%3A%22s3599%22%7D" TargetMode="External"/><Relationship Id="rId24" Type="http://schemas.openxmlformats.org/officeDocument/2006/relationships/hyperlink" Target="https://www.congress.gov/bill/117th-congress/house-bill/3271/cosponsors?q=%7b%22search%22:%5b%22hr3271%22%5d%7d&amp;r=1&amp;s=1&amp;searchResultViewType=expanded" TargetMode="External"/><Relationship Id="rId32" Type="http://schemas.openxmlformats.org/officeDocument/2006/relationships/hyperlink" Target="https://www.congress.gov/bill/117th-congress/house-bill/959/cosponsors?q=%7b%22search%22:%5b%22hr959%22%5d%7d&amp;r=1&amp;s=7&amp;searchResultViewType=expanded" TargetMode="External"/><Relationship Id="rId37" Type="http://schemas.openxmlformats.org/officeDocument/2006/relationships/hyperlink" Target="https://www.congress.gov/bill/117th-congress/senate-bill/168/cosponsors?q=%7b%22search%22:%5b%22s168%22%5d%7d&amp;r=1&amp;s=2&amp;searchResultViewType=expanded" TargetMode="External"/><Relationship Id="rId5" Type="http://schemas.openxmlformats.org/officeDocument/2006/relationships/hyperlink" Target="https://www.congress.gov/bill/117th-congress/house-bill/340?q=%7B%22search%22%3A%5B%22hr340%22%5D%7D&amp;s=1&amp;r=1" TargetMode="External"/><Relationship Id="rId15" Type="http://schemas.openxmlformats.org/officeDocument/2006/relationships/hyperlink" Target="https://www.congress.gov/bill/117th-congress/house-bill/1025/cosponsors?q=%7b%22search%22:%5b%22hr1025%22%5d%7d&amp;r=1&amp;s=1&amp;searchResultViewType=expanded" TargetMode="External"/><Relationship Id="rId23" Type="http://schemas.openxmlformats.org/officeDocument/2006/relationships/hyperlink" Target="https://www.congress.gov/bill/116th-congress/senate-bill/506/cosponsors?q=%7b%22search%22:%22s506%22%7d&amp;searchResultViewType=expanded" TargetMode="External"/><Relationship Id="rId28" Type="http://schemas.openxmlformats.org/officeDocument/2006/relationships/hyperlink" Target="https://www.congress.gov/bill/117th-congress/senate-bill/937/cosponsors?q=%7b%22search%22:%5b%22s937%22%5d%7d&amp;r=1&amp;s=5&amp;searchResultViewType=expanded" TargetMode="External"/><Relationship Id="rId36" Type="http://schemas.openxmlformats.org/officeDocument/2006/relationships/hyperlink" Target="https://www.congress.gov/bill/117th-congress/house-bill/708/cosponsors?q=%7b%22search%22:%5b%22hr708%22%5d%7d&amp;r=1&amp;s=1&amp;searchResultViewType=expanded" TargetMode="External"/><Relationship Id="rId10" Type="http://schemas.openxmlformats.org/officeDocument/2006/relationships/hyperlink" Target="https://www.congress.gov/bill/116th-congress/senate-bill/948/cosponsors?q=%7b%22search%22:%22s948%22%7d&amp;searchResultViewType=expanded" TargetMode="External"/><Relationship Id="rId19" Type="http://schemas.openxmlformats.org/officeDocument/2006/relationships/hyperlink" Target="https://www.congress.gov/bill/117th-congress/senate-bill/464/cosponsors?q=%7b%22search%22:%5b%22s464%22%5d%7d&amp;r=1&amp;s=5&amp;searchResultViewType=expanded" TargetMode="External"/><Relationship Id="rId31" Type="http://schemas.openxmlformats.org/officeDocument/2006/relationships/hyperlink" Target="https://www.congress.gov/bill/117th-congress/senate-bill/162/cosponsors?q=%7b%22search%22:%5b%22s162%22%5d%7d&amp;r=1&amp;s=3&amp;searchResultViewType=expand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gress.gov/bill/116th-congress/house-bill/1554/cosponsors?q=%7b%22search%22:%22hr1554%22%7d&amp;searchResultViewType=expanded" TargetMode="External"/><Relationship Id="rId14" Type="http://schemas.openxmlformats.org/officeDocument/2006/relationships/hyperlink" Target="https://www.congress.gov/bill/117th-congress/senate-bill/610/cosponsors?q=%7b%22search%22:%5b%22s610%22%5d%7d&amp;r=1&amp;s=1&amp;searchResultViewType=expanded" TargetMode="External"/><Relationship Id="rId22" Type="http://schemas.openxmlformats.org/officeDocument/2006/relationships/hyperlink" Target="https://www.congress.gov/bill/116th-congress/house-bill/3076/cosponsors?q=%7b%22search%22:%22hr3076%22%7d&amp;searchResultViewType=expanded" TargetMode="External"/><Relationship Id="rId27" Type="http://schemas.openxmlformats.org/officeDocument/2006/relationships/hyperlink" Target="https://www.congress.gov/bill/117th-congress/house-bill/5/cosponsors?q=%7b%22search%22:%5b%22hr5%22%5d%7d&amp;r=1&amp;s=4&amp;searchResultViewType=expanded" TargetMode="External"/><Relationship Id="rId30" Type="http://schemas.openxmlformats.org/officeDocument/2006/relationships/hyperlink" Target="https://www.congress.gov/bill/117th-congress/house-bill/666/cosponsors?q=%7b%22search%22:%5b%22hr666%22%5d%7d&amp;r=1&amp;s=2&amp;searchResultViewType=expanded" TargetMode="External"/><Relationship Id="rId35" Type="http://schemas.openxmlformats.org/officeDocument/2006/relationships/hyperlink" Target="https://www.congress.gov/bill/117th-congress/senate-bill/1512/cosponsors?q=%7b%22search%22:%5b%22s1512%22%5d%7d&amp;r=1&amp;s=10&amp;searchResultViewType=expanded" TargetMode="External"/><Relationship Id="rId8" Type="http://schemas.openxmlformats.org/officeDocument/2006/relationships/hyperlink" Target="https://www.congress.gov/bill/117th-congress/senate-bill/834/cosponsors?q=%7b%22search%22:%5b%22s834%22%5d%7d&amp;r=1&amp;s=4&amp;searchResultViewType=expande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Jonni McCrann</dc:creator>
  <cp:keywords/>
  <dc:description/>
  <cp:lastModifiedBy>Shuan Tomlinson</cp:lastModifiedBy>
  <cp:revision>2</cp:revision>
  <dcterms:created xsi:type="dcterms:W3CDTF">2021-05-20T19:41:00Z</dcterms:created>
  <dcterms:modified xsi:type="dcterms:W3CDTF">2021-05-20T19:41:00Z</dcterms:modified>
</cp:coreProperties>
</file>